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p w:rsidR="003F7BE9" w:rsidP="00477CEC" w14:paraId="3E95B3AC" w14:textId="77777777">
      <w:pPr>
        <w:pStyle w:val="BodyText"/>
        <w:ind w:left="0" w:right="424"/>
        <w:rPr>
          <w:rFonts w:eastAsia="Times New Roman" w:cs="Times New Roman"/>
        </w:rPr>
      </w:pPr>
    </w:p>
    <w:p w:rsidR="00DA0506" w:rsidP="00477CEC" w14:paraId="101AB50A" w14:textId="5E178BBB">
      <w:pPr>
        <w:pStyle w:val="BodyText"/>
        <w:ind w:left="0" w:right="424"/>
        <w:rPr>
          <w:rFonts w:eastAsia="Times New Roman" w:cs="Times New Roman"/>
        </w:rPr>
      </w:pPr>
      <w:r>
        <w:rPr>
          <w:rFonts w:eastAsia="Times New Roman" w:cs="Times New Roman"/>
        </w:rPr>
        <w:t>10</w:t>
      </w:r>
      <w:r w:rsidR="00152142">
        <w:rPr>
          <w:rFonts w:eastAsia="Times New Roman" w:cs="Times New Roman"/>
        </w:rPr>
        <w:t xml:space="preserve"> July</w:t>
      </w:r>
      <w:r w:rsidR="002E4C56">
        <w:rPr>
          <w:rFonts w:eastAsia="Times New Roman" w:cs="Times New Roman"/>
        </w:rPr>
        <w:t xml:space="preserve"> </w:t>
      </w:r>
      <w:r w:rsidR="00072DFB">
        <w:rPr>
          <w:rFonts w:eastAsia="Times New Roman" w:cs="Times New Roman"/>
        </w:rPr>
        <w:t>2026</w:t>
      </w:r>
    </w:p>
    <w:p w:rsidR="00072DFB" w:rsidP="00477CEC" w14:paraId="6B9FF528" w14:textId="77777777">
      <w:pPr>
        <w:pStyle w:val="BodyText"/>
        <w:ind w:left="0" w:right="424"/>
        <w:rPr>
          <w:rFonts w:eastAsia="Times New Roman" w:cs="Times New Roman"/>
        </w:rPr>
      </w:pPr>
    </w:p>
    <w:p w:rsidR="007C59A9" w:rsidP="00152142" w14:paraId="0CC58F1F" w14:textId="3EE59349">
      <w:pPr>
        <w:pStyle w:val="BodyText"/>
        <w:ind w:left="849" w:right="424" w:hanging="849"/>
      </w:pPr>
      <w:r w:rsidRPr="00FC6B3D">
        <w:t>To:</w:t>
      </w:r>
      <w:r w:rsidR="00152142">
        <w:tab/>
        <w:t>The Treasury</w:t>
      </w:r>
      <w:r w:rsidR="00152142">
        <w:br/>
        <w:t>Commonwealth of Australia</w:t>
      </w:r>
      <w:r w:rsidR="00152142">
        <w:br/>
        <w:t>Submitted online at:</w:t>
      </w:r>
      <w:r w:rsidRPr="007C59A9">
        <w:t xml:space="preserve"> </w:t>
      </w:r>
      <w:hyperlink r:id="rId4" w:history="1">
        <w:r w:rsidRPr="00101550">
          <w:rPr>
            <w:rStyle w:val="Hyperlink"/>
          </w:rPr>
          <w:t>https://consult.treasury.gov.au/c2026-779186</w:t>
        </w:r>
      </w:hyperlink>
    </w:p>
    <w:p w:rsidR="007E4130" w:rsidP="00072DFB" w14:paraId="629B9581" w14:textId="77777777">
      <w:pPr>
        <w:pStyle w:val="BodyText"/>
        <w:ind w:left="0" w:right="424"/>
      </w:pPr>
    </w:p>
    <w:p w:rsidR="00B61A22" w:rsidRPr="00543DCD" w:rsidP="00B61A22" w14:paraId="4B0FDF74" w14:textId="77777777">
      <w:pPr>
        <w:pStyle w:val="Heading1"/>
        <w:numPr>
          <w:ilvl w:val="0"/>
          <w:numId w:val="0"/>
        </w:numPr>
        <w:rPr>
          <w:rFonts w:asciiTheme="majorHAnsi" w:hAnsiTheme="majorHAnsi" w:cstheme="majorHAnsi"/>
        </w:rPr>
      </w:pPr>
      <w:r w:rsidRPr="00543DCD">
        <w:rPr>
          <w:rFonts w:asciiTheme="majorHAnsi" w:hAnsiTheme="majorHAnsi" w:cstheme="majorHAnsi"/>
        </w:rPr>
        <w:t xml:space="preserve">Employee Ownership </w:t>
      </w:r>
      <w:r w:rsidRPr="00543DCD" w:rsidR="00CF5DDC">
        <w:rPr>
          <w:rFonts w:asciiTheme="majorHAnsi" w:hAnsiTheme="majorHAnsi" w:cstheme="majorHAnsi"/>
        </w:rPr>
        <w:t>Association</w:t>
      </w:r>
      <w:r w:rsidRPr="00543DCD">
        <w:rPr>
          <w:rFonts w:asciiTheme="majorHAnsi" w:hAnsiTheme="majorHAnsi" w:cstheme="majorHAnsi"/>
        </w:rPr>
        <w:t>:</w:t>
      </w:r>
      <w:r w:rsidRPr="00543DCD" w:rsidR="00F17E1C">
        <w:rPr>
          <w:rFonts w:asciiTheme="majorHAnsi" w:hAnsiTheme="majorHAnsi" w:cstheme="majorHAnsi"/>
        </w:rPr>
        <w:t xml:space="preserve"> Submission to the </w:t>
      </w:r>
      <w:r w:rsidRPr="00543DCD">
        <w:rPr>
          <w:rFonts w:asciiTheme="majorHAnsi" w:hAnsiTheme="majorHAnsi" w:cstheme="majorHAnsi"/>
        </w:rPr>
        <w:t xml:space="preserve">Treasury </w:t>
      </w:r>
    </w:p>
    <w:p w:rsidR="00B61A22" w:rsidRPr="00543DCD" w:rsidP="00B61A22" w14:paraId="04111C31" w14:textId="18CB51DA">
      <w:pPr>
        <w:pStyle w:val="Heading1"/>
        <w:numPr>
          <w:ilvl w:val="0"/>
          <w:numId w:val="0"/>
        </w:numPr>
        <w:rPr>
          <w:rFonts w:asciiTheme="majorHAnsi" w:hAnsiTheme="majorHAnsi" w:cstheme="majorHAnsi"/>
        </w:rPr>
      </w:pPr>
      <w:r w:rsidRPr="00543DCD">
        <w:rPr>
          <w:rFonts w:asciiTheme="majorHAnsi" w:hAnsiTheme="majorHAnsi" w:cstheme="majorHAnsi"/>
        </w:rPr>
        <w:t>Capital Gains Tax Reforms — Arrangements for Innovative Start-ups</w:t>
      </w:r>
    </w:p>
    <w:p w:rsidR="00395552" w:rsidRPr="00543DCD" w:rsidP="00B61A22" w14:paraId="05C37159" w14:textId="3C56AF52">
      <w:pPr>
        <w:pStyle w:val="Heading1"/>
        <w:numPr>
          <w:ilvl w:val="0"/>
          <w:numId w:val="0"/>
        </w:numPr>
        <w:rPr>
          <w:rFonts w:asciiTheme="majorHAnsi" w:hAnsiTheme="majorHAnsi" w:cstheme="majorHAnsi"/>
        </w:rPr>
      </w:pPr>
      <w:r w:rsidRPr="00543DCD">
        <w:rPr>
          <w:rFonts w:asciiTheme="majorHAnsi" w:hAnsiTheme="majorHAnsi" w:cstheme="majorHAnsi"/>
          <w:b w:val="0"/>
          <w:bCs w:val="0"/>
          <w:i/>
          <w:iCs/>
        </w:rPr>
        <w:t>Response to the Consultation Paper dated 18 June 2026 on the proposed Innovative Business CGT Concession (</w:t>
      </w:r>
      <w:r w:rsidRPr="00543DCD">
        <w:rPr>
          <w:rFonts w:asciiTheme="majorHAnsi" w:hAnsiTheme="majorHAnsi" w:cstheme="majorHAnsi"/>
          <w:i/>
          <w:iCs/>
        </w:rPr>
        <w:t>IBCC</w:t>
      </w:r>
      <w:r w:rsidRPr="00543DCD">
        <w:rPr>
          <w:rFonts w:asciiTheme="majorHAnsi" w:hAnsiTheme="majorHAnsi" w:cstheme="majorHAnsi"/>
          <w:b w:val="0"/>
          <w:bCs w:val="0"/>
          <w:i/>
          <w:iCs/>
        </w:rPr>
        <w:t>)</w:t>
      </w:r>
    </w:p>
    <w:p w:rsidR="009E0B43" w:rsidP="00C02CDE" w14:paraId="35E023FF" w14:textId="0FC74DD1">
      <w:pPr>
        <w:pStyle w:val="Level3"/>
        <w:ind w:left="0"/>
        <w:rPr>
          <w:sz w:val="26"/>
          <w:szCs w:val="26"/>
        </w:rPr>
      </w:pPr>
    </w:p>
    <w:p w:rsidR="002459B5" w:rsidRPr="00C471C7" w:rsidP="005D282D" w14:paraId="1D348332" w14:textId="51FB5986">
      <w:pPr>
        <w:pStyle w:val="Heading1"/>
        <w:ind w:hanging="849"/>
        <w:rPr>
          <w:rFonts w:asciiTheme="majorHAnsi" w:hAnsiTheme="majorHAnsi" w:cstheme="majorHAnsi"/>
        </w:rPr>
      </w:pPr>
      <w:bookmarkStart w:id="0" w:name="_Hlk213538605"/>
      <w:r w:rsidRPr="00C471C7">
        <w:rPr>
          <w:rFonts w:asciiTheme="majorHAnsi" w:hAnsiTheme="majorHAnsi" w:cstheme="majorHAnsi"/>
        </w:rPr>
        <w:t>Introduction</w:t>
      </w:r>
    </w:p>
    <w:p w:rsidR="00422487" w:rsidRPr="00422487" w:rsidP="00422487" w14:paraId="6B21B1EF" w14:textId="0E2A5B00">
      <w:pPr>
        <w:ind w:left="851"/>
        <w:rPr>
          <w:rFonts w:asciiTheme="majorHAnsi" w:hAnsiTheme="majorHAnsi" w:cstheme="majorHAnsi"/>
          <w:b/>
          <w:bCs/>
          <w:u w:val="single"/>
        </w:rPr>
      </w:pPr>
      <w:r w:rsidRPr="00422487">
        <w:rPr>
          <w:rFonts w:asciiTheme="majorHAnsi" w:hAnsiTheme="majorHAnsi" w:cstheme="majorHAnsi"/>
          <w:b/>
          <w:bCs/>
          <w:u w:val="single"/>
        </w:rPr>
        <w:t>Employee Ownership Australia Supports Innovation but Identifies Critical Gaps in the Proposed IBCC</w:t>
      </w:r>
    </w:p>
    <w:p w:rsidR="00422487" w:rsidRPr="00422487" w:rsidP="00422487" w14:paraId="491D44C0" w14:textId="2624C18B">
      <w:pPr>
        <w:ind w:left="851"/>
        <w:rPr>
          <w:rFonts w:asciiTheme="majorHAnsi" w:hAnsiTheme="majorHAnsi" w:cstheme="majorHAnsi"/>
        </w:rPr>
      </w:pPr>
      <w:r w:rsidRPr="00422487">
        <w:rPr>
          <w:rFonts w:asciiTheme="majorHAnsi" w:hAnsiTheme="majorHAnsi" w:cstheme="majorHAnsi"/>
        </w:rPr>
        <w:t>Employee Ownership Australia welcomes the opportunity to make this submission to Treasury in response to the consultation paper, Capital gains tax reforms — arrangements for innovative start-ups, released on 18 June 2026 (</w:t>
      </w:r>
      <w:r w:rsidRPr="00602B07">
        <w:rPr>
          <w:rFonts w:asciiTheme="majorHAnsi" w:hAnsiTheme="majorHAnsi" w:cstheme="majorHAnsi"/>
          <w:b/>
          <w:bCs/>
        </w:rPr>
        <w:t>Consultation Paper</w:t>
      </w:r>
      <w:r w:rsidRPr="00422487">
        <w:rPr>
          <w:rFonts w:asciiTheme="majorHAnsi" w:hAnsiTheme="majorHAnsi" w:cstheme="majorHAnsi"/>
        </w:rPr>
        <w:t>).</w:t>
      </w:r>
    </w:p>
    <w:p w:rsidR="00422487" w:rsidRPr="00422487" w:rsidP="00422487" w14:paraId="02E34E7F" w14:textId="77777777">
      <w:pPr>
        <w:ind w:left="851"/>
        <w:rPr>
          <w:rFonts w:asciiTheme="majorHAnsi" w:hAnsiTheme="majorHAnsi" w:cstheme="majorHAnsi"/>
        </w:rPr>
      </w:pPr>
      <w:r w:rsidRPr="00422487">
        <w:rPr>
          <w:rFonts w:asciiTheme="majorHAnsi" w:hAnsiTheme="majorHAnsi" w:cstheme="majorHAnsi"/>
        </w:rPr>
        <w:t>This submission addresses the proposed Innovative Business CGT Concession (</w:t>
      </w:r>
      <w:r w:rsidRPr="00035967">
        <w:rPr>
          <w:rFonts w:asciiTheme="majorHAnsi" w:hAnsiTheme="majorHAnsi" w:cstheme="majorHAnsi"/>
          <w:b/>
          <w:bCs/>
        </w:rPr>
        <w:t>IBCC</w:t>
      </w:r>
      <w:r w:rsidRPr="00422487">
        <w:rPr>
          <w:rFonts w:asciiTheme="majorHAnsi" w:hAnsiTheme="majorHAnsi" w:cstheme="majorHAnsi"/>
        </w:rPr>
        <w:t>), which is intended to preserve, in targeted circumstances, access to a 50 per cent capital gains tax discount for certain equity interests in innovative start-ups, following the replacement of the existing 50 per cent CGT discount with cost base indexation and a 30 per cent minimum tax from 1 July 2027.</w:t>
      </w:r>
    </w:p>
    <w:p w:rsidR="00422487" w:rsidRPr="00422487" w:rsidP="00422487" w14:paraId="65472252" w14:textId="77777777">
      <w:pPr>
        <w:ind w:left="851"/>
        <w:rPr>
          <w:rFonts w:asciiTheme="majorHAnsi" w:hAnsiTheme="majorHAnsi" w:cstheme="majorHAnsi"/>
        </w:rPr>
      </w:pPr>
      <w:r w:rsidRPr="00422487">
        <w:rPr>
          <w:rFonts w:asciiTheme="majorHAnsi" w:hAnsiTheme="majorHAnsi" w:cstheme="majorHAnsi"/>
        </w:rPr>
        <w:t>Employee Ownership Australia is Australia’s peak body for employee ownership. We represent the interests of companies, trustees, advisers and employees engaged in broad-based and start-up employee share schemes across all sectors of the Australian economy.</w:t>
      </w:r>
    </w:p>
    <w:p w:rsidR="00422487" w:rsidRPr="00422487" w:rsidP="00422487" w14:paraId="74FC88DE" w14:textId="77777777">
      <w:pPr>
        <w:ind w:left="851"/>
        <w:rPr>
          <w:rFonts w:asciiTheme="majorHAnsi" w:hAnsiTheme="majorHAnsi" w:cstheme="majorHAnsi"/>
        </w:rPr>
      </w:pPr>
      <w:r w:rsidRPr="00422487">
        <w:rPr>
          <w:rFonts w:asciiTheme="majorHAnsi" w:hAnsiTheme="majorHAnsi" w:cstheme="majorHAnsi"/>
        </w:rPr>
        <w:t xml:space="preserve">This submission should be read together with Employee Ownership Australia’s submission of 9 June 2026 to the Senate Economics Legislation Committee in relation to the </w:t>
      </w:r>
      <w:r w:rsidRPr="00543DCD">
        <w:rPr>
          <w:rFonts w:asciiTheme="majorHAnsi" w:hAnsiTheme="majorHAnsi" w:cstheme="majorHAnsi"/>
          <w:i/>
          <w:iCs/>
        </w:rPr>
        <w:t>Treasury Laws Amendment (Tax Reform No. 1) Bill 2026</w:t>
      </w:r>
      <w:r w:rsidRPr="00422487">
        <w:rPr>
          <w:rFonts w:asciiTheme="majorHAnsi" w:hAnsiTheme="majorHAnsi" w:cstheme="majorHAnsi"/>
        </w:rPr>
        <w:t xml:space="preserve"> and related measures. That earlier submission raised broader concerns about the design of the capital gains tax reforms and their impact on employee ownership. Those concerns remain directly relevant to the IBCC.</w:t>
      </w:r>
    </w:p>
    <w:p w:rsidR="00422487" w:rsidRPr="00422487" w:rsidP="00543DCD" w14:paraId="171B9EC4" w14:textId="0E44FE26">
      <w:pPr>
        <w:keepNext/>
        <w:keepLines/>
        <w:ind w:left="851"/>
        <w:rPr>
          <w:rFonts w:asciiTheme="majorHAnsi" w:hAnsiTheme="majorHAnsi" w:cstheme="majorHAnsi"/>
        </w:rPr>
      </w:pPr>
      <w:r w:rsidRPr="00422487">
        <w:rPr>
          <w:rFonts w:asciiTheme="majorHAnsi" w:hAnsiTheme="majorHAnsi" w:cstheme="majorHAnsi"/>
        </w:rPr>
        <w:t xml:space="preserve">Employee Ownership Australia supports the policy objective of encouraging innovation, entrepreneurship and long-term productive investment. However, the IBCC </w:t>
      </w:r>
      <w:r w:rsidR="002D39B3">
        <w:rPr>
          <w:rFonts w:asciiTheme="majorHAnsi" w:hAnsiTheme="majorHAnsi" w:cstheme="majorHAnsi"/>
        </w:rPr>
        <w:t xml:space="preserve">is </w:t>
      </w:r>
      <w:r w:rsidRPr="00422487">
        <w:rPr>
          <w:rFonts w:asciiTheme="majorHAnsi" w:hAnsiTheme="majorHAnsi" w:cstheme="majorHAnsi"/>
        </w:rPr>
        <w:t xml:space="preserve">insufficiently integrated with the existing employee share scheme regime. Without amendment, </w:t>
      </w:r>
      <w:r w:rsidRPr="00422487" w:rsidR="002D39B3">
        <w:rPr>
          <w:rFonts w:asciiTheme="majorHAnsi" w:hAnsiTheme="majorHAnsi" w:cstheme="majorHAnsi"/>
        </w:rPr>
        <w:t xml:space="preserve">Employee Ownership Australia </w:t>
      </w:r>
      <w:r w:rsidR="002D39B3">
        <w:rPr>
          <w:rFonts w:asciiTheme="majorHAnsi" w:hAnsiTheme="majorHAnsi" w:cstheme="majorHAnsi"/>
        </w:rPr>
        <w:t xml:space="preserve">is concerned that </w:t>
      </w:r>
      <w:r w:rsidRPr="00422487">
        <w:rPr>
          <w:rFonts w:asciiTheme="majorHAnsi" w:hAnsiTheme="majorHAnsi" w:cstheme="majorHAnsi"/>
        </w:rPr>
        <w:t>it will fail to deliver its stated objectives for the employees who are essential to building innovative businesses. Above all other matters raised in this submission, Employee Ownership Australia’s foremost and most strongly held recommendation is that the existing start-up employee share scheme concession be retained as a standalone regime, and that all existing interests be fully grandfathered if it is not. Treasury should treat this as a threshold priority in finalising the IBCC.</w:t>
      </w:r>
    </w:p>
    <w:p w:rsidR="00422487" w:rsidRPr="00422487" w:rsidP="00422487" w14:paraId="19A69142" w14:textId="627E6072">
      <w:pPr>
        <w:pStyle w:val="Heading1"/>
        <w:ind w:hanging="849"/>
        <w:rPr>
          <w:rFonts w:asciiTheme="majorHAnsi" w:hAnsiTheme="majorHAnsi" w:cstheme="majorHAnsi"/>
        </w:rPr>
      </w:pPr>
      <w:r w:rsidRPr="00422487">
        <w:rPr>
          <w:rFonts w:asciiTheme="majorHAnsi" w:hAnsiTheme="majorHAnsi" w:cstheme="majorHAnsi"/>
        </w:rPr>
        <w:t>Executive Summary</w:t>
      </w:r>
    </w:p>
    <w:p w:rsidR="00422487" w:rsidRPr="00422487" w:rsidP="00422487" w14:paraId="261F5277" w14:textId="77777777">
      <w:pPr>
        <w:ind w:left="851"/>
        <w:rPr>
          <w:rFonts w:asciiTheme="majorHAnsi" w:hAnsiTheme="majorHAnsi" w:cstheme="majorHAnsi"/>
          <w:b/>
          <w:bCs/>
          <w:u w:val="single"/>
        </w:rPr>
      </w:pPr>
      <w:r w:rsidRPr="00422487">
        <w:rPr>
          <w:rFonts w:asciiTheme="majorHAnsi" w:hAnsiTheme="majorHAnsi" w:cstheme="majorHAnsi"/>
          <w:b/>
          <w:bCs/>
          <w:u w:val="single"/>
        </w:rPr>
        <w:t>The IBCC Is a Constructive but Incomplete Response to the Needs of Employee Ownership in Innovative Businesses</w:t>
      </w:r>
    </w:p>
    <w:p w:rsidR="00422487" w:rsidRPr="00422487" w:rsidP="00422487" w14:paraId="1AAB6FA2" w14:textId="07D6B7DF">
      <w:pPr>
        <w:ind w:left="851"/>
        <w:rPr>
          <w:rFonts w:asciiTheme="majorHAnsi" w:hAnsiTheme="majorHAnsi" w:cstheme="majorHAnsi"/>
        </w:rPr>
      </w:pPr>
      <w:r w:rsidRPr="00422487">
        <w:rPr>
          <w:rFonts w:asciiTheme="majorHAnsi" w:hAnsiTheme="majorHAnsi" w:cstheme="majorHAnsi"/>
        </w:rPr>
        <w:t xml:space="preserve">Employee Ownership Australia supports the principle of a targeted concession for innovative start-ups. However, the proposed IBCC requires significant amendment to accommodate the realities of employee share schemes and employee ownership structures. </w:t>
      </w:r>
    </w:p>
    <w:p w:rsidR="00422487" w:rsidP="002D39B3" w14:paraId="3DE64982" w14:textId="0AC2AE0A">
      <w:pPr>
        <w:ind w:left="851"/>
        <w:rPr>
          <w:rFonts w:asciiTheme="majorHAnsi" w:hAnsiTheme="majorHAnsi" w:cstheme="majorHAnsi"/>
        </w:rPr>
      </w:pPr>
      <w:r w:rsidRPr="00422487">
        <w:rPr>
          <w:rFonts w:asciiTheme="majorHAnsi" w:hAnsiTheme="majorHAnsi" w:cstheme="majorHAnsi"/>
        </w:rPr>
        <w:t xml:space="preserve">Foremost among </w:t>
      </w:r>
      <w:r w:rsidR="002D39B3">
        <w:rPr>
          <w:rFonts w:asciiTheme="majorHAnsi" w:hAnsiTheme="majorHAnsi" w:cstheme="majorHAnsi"/>
        </w:rPr>
        <w:t>Employee Ownership Australia’s concerns</w:t>
      </w:r>
      <w:r w:rsidRPr="00422487">
        <w:rPr>
          <w:rFonts w:asciiTheme="majorHAnsi" w:hAnsiTheme="majorHAnsi" w:cstheme="majorHAnsi"/>
        </w:rPr>
        <w:t>, and the one to which Treasury should give overriding priority in finalising the IBCC, is the retention of the existing start-up employee share scheme concession as a standalone regime — or, failing that, the full grandfathering of all existing interests</w:t>
      </w:r>
      <w:r w:rsidR="005F2057">
        <w:rPr>
          <w:rFonts w:asciiTheme="majorHAnsi" w:hAnsiTheme="majorHAnsi" w:cstheme="majorHAnsi"/>
        </w:rPr>
        <w:t>. The</w:t>
      </w:r>
      <w:r w:rsidRPr="005F2057" w:rsidR="005F2057">
        <w:t xml:space="preserve"> </w:t>
      </w:r>
      <w:r w:rsidR="005F2057">
        <w:t xml:space="preserve">IBCC should not be framed as, or attempt to, in substance replace or alter the </w:t>
      </w:r>
      <w:r w:rsidRPr="00422487" w:rsidR="005F2057">
        <w:t>start-up employee share scheme concession</w:t>
      </w:r>
      <w:r w:rsidR="003A68C5">
        <w:t xml:space="preserve"> but should instead sit as an alternative basis on which a concession is available</w:t>
      </w:r>
      <w:r w:rsidR="005F2057">
        <w:t xml:space="preserve">. There should be </w:t>
      </w:r>
      <w:r w:rsidRPr="00422487" w:rsidR="005F2057">
        <w:t>express protection for the $1,000 exemption and effective grandfathering where the form of an ESS interest changes</w:t>
      </w:r>
      <w:r w:rsidR="005F2057">
        <w:t>. This is</w:t>
      </w:r>
      <w:r w:rsidRPr="00422487">
        <w:rPr>
          <w:rFonts w:asciiTheme="majorHAnsi" w:hAnsiTheme="majorHAnsi" w:cstheme="majorHAnsi"/>
        </w:rPr>
        <w:t xml:space="preserve"> discussed in detail in Section 4 below.</w:t>
      </w:r>
    </w:p>
    <w:p w:rsidR="002D39B3" w:rsidRPr="00422487" w:rsidP="002D39B3" w14:paraId="100FFB1F" w14:textId="2A17EBFC">
      <w:pPr>
        <w:ind w:left="851"/>
        <w:rPr>
          <w:rFonts w:asciiTheme="majorHAnsi" w:hAnsiTheme="majorHAnsi" w:cstheme="majorHAnsi"/>
        </w:rPr>
      </w:pPr>
      <w:r w:rsidRPr="00422487">
        <w:rPr>
          <w:rFonts w:asciiTheme="majorHAnsi" w:hAnsiTheme="majorHAnsi" w:cstheme="majorHAnsi"/>
        </w:rPr>
        <w:t>The following</w:t>
      </w:r>
      <w:r>
        <w:rPr>
          <w:rFonts w:asciiTheme="majorHAnsi" w:hAnsiTheme="majorHAnsi" w:cstheme="majorHAnsi"/>
        </w:rPr>
        <w:t xml:space="preserve"> other</w:t>
      </w:r>
      <w:r w:rsidRPr="00422487">
        <w:rPr>
          <w:rFonts w:asciiTheme="majorHAnsi" w:hAnsiTheme="majorHAnsi" w:cstheme="majorHAnsi"/>
        </w:rPr>
        <w:t xml:space="preserve"> themes are developed in this submission:</w:t>
      </w:r>
    </w:p>
    <w:p w:rsidR="00422487" w:rsidRPr="00422487" w:rsidP="00864D34" w14:paraId="54632F67" w14:textId="5C380DBD">
      <w:pPr>
        <w:pStyle w:val="ListBulletIndent"/>
        <w:numPr>
          <w:ilvl w:val="3"/>
          <w:numId w:val="20"/>
        </w:numPr>
        <w:ind w:left="1211"/>
      </w:pPr>
      <w:r w:rsidRPr="00422487">
        <w:t>The IBCC’s “new equity only” requirement unfairly excludes genuine secondary transactions common in employee ownership, particularly acquisitions by employee share trusts from existing shareholders.</w:t>
      </w:r>
    </w:p>
    <w:p w:rsidR="00422487" w:rsidRPr="00422487" w:rsidP="00864D34" w14:paraId="7C1E63E5" w14:textId="161AC46E">
      <w:pPr>
        <w:pStyle w:val="ListBulletIndent"/>
        <w:numPr>
          <w:ilvl w:val="3"/>
          <w:numId w:val="20"/>
        </w:numPr>
        <w:ind w:left="1211"/>
      </w:pPr>
      <w:r w:rsidRPr="00422487">
        <w:t>The innovation testing framework creates unacceptable uncertainty for employees who cannot independently verify their company’s innovation status. A binding, company-level certification pathway is essential.</w:t>
      </w:r>
    </w:p>
    <w:p w:rsidR="00422487" w:rsidRPr="00422487" w:rsidP="00864D34" w14:paraId="34EB5475" w14:textId="22611D42">
      <w:pPr>
        <w:pStyle w:val="ListBulletIndent"/>
        <w:numPr>
          <w:ilvl w:val="3"/>
          <w:numId w:val="20"/>
        </w:numPr>
        <w:ind w:left="1211"/>
      </w:pPr>
      <w:r w:rsidRPr="00422487">
        <w:t xml:space="preserve">Founders and early employees need safe </w:t>
      </w:r>
      <w:r w:rsidRPr="00422487">
        <w:t>harbours</w:t>
      </w:r>
      <w:r w:rsidRPr="00422487">
        <w:t xml:space="preserve"> where innovation status cannot be satisfied at the time equity is first issued.</w:t>
      </w:r>
    </w:p>
    <w:p w:rsidR="00422487" w:rsidRPr="00422487" w:rsidP="00864D34" w14:paraId="4313E78B" w14:textId="2567DA23">
      <w:pPr>
        <w:pStyle w:val="ListBulletIndent"/>
        <w:numPr>
          <w:ilvl w:val="3"/>
          <w:numId w:val="20"/>
        </w:numPr>
        <w:ind w:left="1211"/>
      </w:pPr>
      <w:r w:rsidRPr="00422487">
        <w:t>Transitional treatment of existing ventures and existing ESS interests must not require retrospective innovation testing against criteria that did not exist when employees made their decisions.</w:t>
      </w:r>
    </w:p>
    <w:p w:rsidR="00422487" w:rsidRPr="00422487" w:rsidP="00864D34" w14:paraId="6DA68D92" w14:textId="0C0D7279">
      <w:pPr>
        <w:pStyle w:val="ListBulletIndent"/>
        <w:numPr>
          <w:ilvl w:val="3"/>
          <w:numId w:val="20"/>
        </w:numPr>
        <w:ind w:left="1211"/>
      </w:pPr>
      <w:r w:rsidRPr="00422487">
        <w:t xml:space="preserve">The multi-event architecture of Division 83A and Subdivision 130-D of the </w:t>
      </w:r>
      <w:r w:rsidR="004F7D82">
        <w:rPr>
          <w:i/>
          <w:iCs/>
        </w:rPr>
        <w:t xml:space="preserve">Income Tax Assessment Act 1997 </w:t>
      </w:r>
      <w:r w:rsidR="004F7D82">
        <w:t>(Cth) (</w:t>
      </w:r>
      <w:r w:rsidR="004F7D82">
        <w:rPr>
          <w:b/>
          <w:bCs/>
          <w:i/>
          <w:iCs/>
        </w:rPr>
        <w:t>ITAA 1997</w:t>
      </w:r>
      <w:r w:rsidR="004F7D82">
        <w:t>)</w:t>
      </w:r>
      <w:r w:rsidRPr="00422487">
        <w:t xml:space="preserve"> creates fundamental incompatibilities with the proposed eligibility and transitional rules.</w:t>
      </w:r>
    </w:p>
    <w:p w:rsidR="00422487" w:rsidRPr="00422487" w:rsidP="00864D34" w14:paraId="2991FE38" w14:textId="5E45A97D">
      <w:pPr>
        <w:pStyle w:val="ListBulletIndent"/>
        <w:numPr>
          <w:ilvl w:val="3"/>
          <w:numId w:val="20"/>
        </w:numPr>
        <w:ind w:left="1211"/>
      </w:pPr>
      <w:r w:rsidRPr="00422487">
        <w:t>The proposed five-year minimum holding period is too rigid for employees</w:t>
      </w:r>
      <w:r w:rsidR="003A68C5">
        <w:t xml:space="preserve">, is inconsistent with the existing </w:t>
      </w:r>
      <w:r w:rsidRPr="00422487" w:rsidR="003A68C5">
        <w:rPr>
          <w:rFonts w:asciiTheme="majorHAnsi" w:hAnsiTheme="majorHAnsi" w:cstheme="majorHAnsi"/>
        </w:rPr>
        <w:t>start-up employee share scheme concession</w:t>
      </w:r>
      <w:r w:rsidRPr="00422487">
        <w:t xml:space="preserve"> and should be shortened to three years, with carve-outs for events outside employees’ control.</w:t>
      </w:r>
    </w:p>
    <w:p w:rsidR="00422487" w:rsidRPr="00422487" w:rsidP="00864D34" w14:paraId="60D27EA3" w14:textId="36442CE8">
      <w:pPr>
        <w:pStyle w:val="ListBulletIndent"/>
        <w:numPr>
          <w:ilvl w:val="3"/>
          <w:numId w:val="20"/>
        </w:numPr>
        <w:ind w:left="1211"/>
      </w:pPr>
      <w:r w:rsidRPr="00422487">
        <w:t>Rollover and continuity rules must preserve IBCC and ESS status through corporate restructures.</w:t>
      </w:r>
    </w:p>
    <w:p w:rsidR="00422487" w:rsidRPr="00422487" w:rsidP="00864D34" w14:paraId="06511A52" w14:textId="523E98A3">
      <w:pPr>
        <w:pStyle w:val="ListBulletIndent"/>
        <w:numPr>
          <w:ilvl w:val="3"/>
          <w:numId w:val="20"/>
        </w:numPr>
        <w:ind w:left="1211"/>
      </w:pPr>
      <w:r w:rsidRPr="00422487">
        <w:t>The $10 million lifetime cap should be reconsidered to ensure it remains meaningful for employees in high-growth outcomes.</w:t>
      </w:r>
    </w:p>
    <w:p w:rsidR="00422487" w:rsidRPr="00422487" w:rsidP="00864D34" w14:paraId="706B6CDD" w14:textId="341BEFC1">
      <w:pPr>
        <w:pStyle w:val="ListBulletIndent"/>
        <w:numPr>
          <w:ilvl w:val="3"/>
          <w:numId w:val="20"/>
        </w:numPr>
        <w:ind w:left="1211"/>
      </w:pPr>
      <w:r w:rsidRPr="00422487">
        <w:t>Employee share trusts and genuine employee ownership trusts must be excluded from any future trust minimum tax, and Treasury should commit to targeted, ongoing consultation with employee ownership stakeholders.</w:t>
      </w:r>
    </w:p>
    <w:p w:rsidR="00422487" w:rsidRPr="00422487" w:rsidP="004D3FE3" w14:paraId="643C5983" w14:textId="7530843C">
      <w:pPr>
        <w:pStyle w:val="Heading1"/>
        <w:ind w:hanging="849"/>
        <w:rPr>
          <w:rFonts w:asciiTheme="majorHAnsi" w:hAnsiTheme="majorHAnsi" w:cstheme="majorHAnsi"/>
        </w:rPr>
      </w:pPr>
      <w:r w:rsidRPr="00422487">
        <w:rPr>
          <w:rFonts w:asciiTheme="majorHAnsi" w:hAnsiTheme="majorHAnsi" w:cstheme="majorHAnsi"/>
        </w:rPr>
        <w:t>Policy Context</w:t>
      </w:r>
    </w:p>
    <w:p w:rsidR="00EA58AB" w:rsidRPr="00EA58AB" w:rsidP="00EA58AB" w14:paraId="02CB3C20" w14:textId="77777777">
      <w:pPr>
        <w:ind w:left="851"/>
        <w:rPr>
          <w:rFonts w:asciiTheme="majorHAnsi" w:hAnsiTheme="majorHAnsi" w:cstheme="majorHAnsi"/>
          <w:b/>
          <w:bCs/>
          <w:u w:val="single"/>
        </w:rPr>
      </w:pPr>
      <w:r w:rsidRPr="00EA58AB">
        <w:rPr>
          <w:rFonts w:asciiTheme="majorHAnsi" w:hAnsiTheme="majorHAnsi" w:cstheme="majorHAnsi"/>
          <w:b/>
          <w:bCs/>
          <w:u w:val="single"/>
        </w:rPr>
        <w:t>Both Financial and Human Capital Are Essential to a Functioning Innovation Ecosystem</w:t>
      </w:r>
    </w:p>
    <w:p w:rsidR="00EA58AB" w:rsidRPr="00EA58AB" w:rsidP="00EA58AB" w14:paraId="49CE4448" w14:textId="77777777">
      <w:pPr>
        <w:ind w:left="851"/>
        <w:rPr>
          <w:rFonts w:asciiTheme="majorHAnsi" w:hAnsiTheme="majorHAnsi" w:cstheme="majorHAnsi"/>
        </w:rPr>
      </w:pPr>
      <w:r w:rsidRPr="00EA58AB">
        <w:rPr>
          <w:rFonts w:asciiTheme="majorHAnsi" w:hAnsiTheme="majorHAnsi" w:cstheme="majorHAnsi"/>
        </w:rPr>
        <w:t>Australia’s innovation economy depends on two forms of capital: financial capital (provided by founders, angel investors, venture capital and private equity funds, and strategic investors) and human capital (provided by founders, employees and management who accept below-market pay, career risk, illiquidity and uncertain exit timing in exchange for equity participation).</w:t>
      </w:r>
    </w:p>
    <w:p w:rsidR="00EA58AB" w:rsidRPr="00EA58AB" w:rsidP="00EA58AB" w14:paraId="091E61E4" w14:textId="77777777">
      <w:pPr>
        <w:ind w:left="851"/>
        <w:rPr>
          <w:rFonts w:asciiTheme="majorHAnsi" w:hAnsiTheme="majorHAnsi" w:cstheme="majorHAnsi"/>
        </w:rPr>
      </w:pPr>
      <w:r w:rsidRPr="00EA58AB">
        <w:rPr>
          <w:rFonts w:asciiTheme="majorHAnsi" w:hAnsiTheme="majorHAnsi" w:cstheme="majorHAnsi"/>
        </w:rPr>
        <w:t>A regime that supports financial capital through expanded venture capital incentives while simultaneously weakening employee equity incentives is incomplete and internally inconsistent.</w:t>
      </w:r>
    </w:p>
    <w:p w:rsidR="00EA58AB" w:rsidRPr="00EA58AB" w:rsidP="00EA58AB" w14:paraId="6D9E293D" w14:textId="77777777">
      <w:pPr>
        <w:ind w:left="851"/>
        <w:rPr>
          <w:rFonts w:asciiTheme="majorHAnsi" w:hAnsiTheme="majorHAnsi" w:cstheme="majorHAnsi"/>
        </w:rPr>
      </w:pPr>
      <w:r w:rsidRPr="00EA58AB">
        <w:rPr>
          <w:rFonts w:asciiTheme="majorHAnsi" w:hAnsiTheme="majorHAnsi" w:cstheme="majorHAnsi"/>
        </w:rPr>
        <w:t>Employees in innovative start-ups are not passive investors seeking concessional tax treatment on asset appreciation. They accept below-market cash remuneration, employment risk, business failure risk, illiquidity, uncertain exit timing, dilution risk, and limited ability to sell or diversify. These risks are qualitatively different from those borne by external investors, and the tax system should recognise that distinction.</w:t>
      </w:r>
    </w:p>
    <w:p w:rsidR="00EA58AB" w:rsidRPr="00EA58AB" w:rsidP="00EA58AB" w14:paraId="67A0F8F3" w14:textId="7AED4EF1">
      <w:pPr>
        <w:ind w:left="851"/>
        <w:rPr>
          <w:rFonts w:asciiTheme="majorHAnsi" w:hAnsiTheme="majorHAnsi" w:cstheme="majorHAnsi"/>
        </w:rPr>
      </w:pPr>
      <w:r w:rsidRPr="00EA58AB">
        <w:rPr>
          <w:rFonts w:asciiTheme="majorHAnsi" w:hAnsiTheme="majorHAnsi" w:cstheme="majorHAnsi"/>
        </w:rPr>
        <w:t>The start-up employee share scheme concession in Subdivision 83A-C of the ITAA 1997 is one of the most important policy settings supporting Australia’s innovation economy. It enables early-stage companies to use equity as a recruitment and retention tool despite lacking cash flow to pay market salaries. The combination of tax deferral and the CGT discount gives the concession its economic value.</w:t>
      </w:r>
    </w:p>
    <w:p w:rsidR="00EA58AB" w:rsidRPr="00EA58AB" w:rsidP="00EA58AB" w14:paraId="257B82C8" w14:textId="7CFA5C39">
      <w:pPr>
        <w:ind w:left="851"/>
        <w:rPr>
          <w:rFonts w:asciiTheme="majorHAnsi" w:hAnsiTheme="majorHAnsi" w:cstheme="majorHAnsi"/>
        </w:rPr>
      </w:pPr>
      <w:r w:rsidRPr="00EA58AB">
        <w:rPr>
          <w:rFonts w:asciiTheme="majorHAnsi" w:hAnsiTheme="majorHAnsi" w:cstheme="majorHAnsi"/>
        </w:rPr>
        <w:t xml:space="preserve">The IBCC is a welcome acknowledgement that innovative businesses require different treatment. However, it must be properly integrated </w:t>
      </w:r>
      <w:r w:rsidR="00695059">
        <w:rPr>
          <w:rFonts w:asciiTheme="majorHAnsi" w:hAnsiTheme="majorHAnsi" w:cstheme="majorHAnsi"/>
        </w:rPr>
        <w:t>separately but with regard to</w:t>
      </w:r>
      <w:r w:rsidRPr="00EA58AB" w:rsidR="00695059">
        <w:rPr>
          <w:rFonts w:asciiTheme="majorHAnsi" w:hAnsiTheme="majorHAnsi" w:cstheme="majorHAnsi"/>
        </w:rPr>
        <w:t xml:space="preserve"> </w:t>
      </w:r>
      <w:r w:rsidRPr="00EA58AB">
        <w:rPr>
          <w:rFonts w:asciiTheme="majorHAnsi" w:hAnsiTheme="majorHAnsi" w:cstheme="majorHAnsi"/>
        </w:rPr>
        <w:t>the existing ESS regime to achieve its stated objectives.</w:t>
      </w:r>
    </w:p>
    <w:p w:rsidR="00EA58AB" w:rsidRPr="00EA58AB" w:rsidP="004C3581" w14:paraId="0E54F9D7" w14:textId="060E3169">
      <w:pPr>
        <w:pStyle w:val="Heading1"/>
        <w:ind w:hanging="849"/>
        <w:rPr>
          <w:rFonts w:asciiTheme="majorHAnsi" w:hAnsiTheme="majorHAnsi" w:cstheme="majorHAnsi"/>
        </w:rPr>
      </w:pPr>
      <w:r w:rsidRPr="00EA58AB">
        <w:rPr>
          <w:rFonts w:asciiTheme="majorHAnsi" w:hAnsiTheme="majorHAnsi" w:cstheme="majorHAnsi"/>
        </w:rPr>
        <w:t>Retention of the Existing Start-Up Employee Share Scheme Concession</w:t>
      </w:r>
    </w:p>
    <w:p w:rsidR="00EA58AB" w:rsidRPr="004508A0" w:rsidP="00EA58AB" w14:paraId="6D017602" w14:textId="77777777">
      <w:pPr>
        <w:ind w:left="851"/>
        <w:rPr>
          <w:rFonts w:asciiTheme="majorHAnsi" w:hAnsiTheme="majorHAnsi" w:cstheme="majorHAnsi"/>
          <w:b/>
          <w:bCs/>
        </w:rPr>
      </w:pPr>
      <w:r w:rsidRPr="004508A0">
        <w:rPr>
          <w:rFonts w:asciiTheme="majorHAnsi" w:hAnsiTheme="majorHAnsi" w:cstheme="majorHAnsi"/>
          <w:b/>
          <w:bCs/>
        </w:rPr>
        <w:t>Relevant consultation questions: Questions 1, 2 and 7</w:t>
      </w:r>
    </w:p>
    <w:p w:rsidR="00EA58AB" w:rsidRPr="00EA58AB" w:rsidP="00EA58AB" w14:paraId="6C1920D0" w14:textId="48423076">
      <w:pPr>
        <w:ind w:left="851"/>
        <w:rPr>
          <w:rFonts w:asciiTheme="majorHAnsi" w:hAnsiTheme="majorHAnsi" w:cstheme="majorHAnsi"/>
        </w:rPr>
      </w:pPr>
      <w:r w:rsidRPr="00EA58AB">
        <w:rPr>
          <w:rFonts w:asciiTheme="majorHAnsi" w:hAnsiTheme="majorHAnsi" w:cstheme="majorHAnsi"/>
        </w:rPr>
        <w:t>This is Employee Ownership Australia’s foremost recommendation in this submission. The retention — or, failing that, the full grandfathering — of the existing start-up employee share scheme concession matters more to the ongoing viability of employee ownership in Australia than any other single design feature of the IBCC</w:t>
      </w:r>
      <w:r w:rsidR="00C617DF">
        <w:rPr>
          <w:rFonts w:asciiTheme="majorHAnsi" w:hAnsiTheme="majorHAnsi" w:cstheme="majorHAnsi"/>
        </w:rPr>
        <w:t xml:space="preserve">. </w:t>
      </w:r>
      <w:r w:rsidRPr="00EA58AB">
        <w:rPr>
          <w:rFonts w:asciiTheme="majorHAnsi" w:hAnsiTheme="majorHAnsi" w:cstheme="majorHAnsi"/>
        </w:rPr>
        <w:t xml:space="preserve">Treasury should treat </w:t>
      </w:r>
      <w:r w:rsidR="003A68C5">
        <w:rPr>
          <w:rFonts w:asciiTheme="majorHAnsi" w:hAnsiTheme="majorHAnsi" w:cstheme="majorHAnsi"/>
        </w:rPr>
        <w:t>this</w:t>
      </w:r>
      <w:r w:rsidRPr="00EA58AB">
        <w:rPr>
          <w:rFonts w:asciiTheme="majorHAnsi" w:hAnsiTheme="majorHAnsi" w:cstheme="majorHAnsi"/>
        </w:rPr>
        <w:t xml:space="preserve"> as a threshold priority in finalising this measure.</w:t>
      </w:r>
    </w:p>
    <w:p w:rsidR="00EA58AB" w:rsidRPr="00755AFB" w:rsidP="00EA58AB" w14:paraId="1B0CAF98" w14:textId="77777777">
      <w:pPr>
        <w:ind w:left="851"/>
        <w:rPr>
          <w:rFonts w:asciiTheme="majorHAnsi" w:hAnsiTheme="majorHAnsi" w:cstheme="majorHAnsi"/>
          <w:b/>
          <w:bCs/>
          <w:u w:val="single"/>
        </w:rPr>
      </w:pPr>
      <w:r w:rsidRPr="00755AFB">
        <w:rPr>
          <w:rFonts w:asciiTheme="majorHAnsi" w:hAnsiTheme="majorHAnsi" w:cstheme="majorHAnsi"/>
          <w:b/>
          <w:bCs/>
          <w:u w:val="single"/>
        </w:rPr>
        <w:t>The Start-Up Concession Should Be Retained as a Standalone Regime</w:t>
      </w:r>
    </w:p>
    <w:p w:rsidR="00EA58AB" w:rsidRPr="00EA58AB" w:rsidP="00EA58AB" w14:paraId="50B92093" w14:textId="2D4E31A4">
      <w:pPr>
        <w:ind w:left="851"/>
        <w:rPr>
          <w:rFonts w:asciiTheme="majorHAnsi" w:hAnsiTheme="majorHAnsi" w:cstheme="majorHAnsi"/>
        </w:rPr>
      </w:pPr>
      <w:r w:rsidRPr="00EA58AB">
        <w:rPr>
          <w:rFonts w:asciiTheme="majorHAnsi" w:hAnsiTheme="majorHAnsi" w:cstheme="majorHAnsi"/>
        </w:rPr>
        <w:t>Employee Ownership Australia’s paramount recommendation in this submission is that the existing start-up employee share scheme concession, including the associated discounted capital gains tax treatment, be retained in its current form.</w:t>
      </w:r>
    </w:p>
    <w:p w:rsidR="00EA58AB" w:rsidRPr="00EA58AB" w:rsidP="00EA58AB" w14:paraId="692396BE" w14:textId="77777777">
      <w:pPr>
        <w:ind w:left="851"/>
        <w:rPr>
          <w:rFonts w:asciiTheme="majorHAnsi" w:hAnsiTheme="majorHAnsi" w:cstheme="majorHAnsi"/>
        </w:rPr>
      </w:pPr>
      <w:r w:rsidRPr="00EA58AB">
        <w:rPr>
          <w:rFonts w:asciiTheme="majorHAnsi" w:hAnsiTheme="majorHAnsi" w:cstheme="majorHAnsi"/>
        </w:rPr>
        <w:t>The start-up concession serves a fundamentally different policy objective from the proposed IBCC. It is designed to facilitate broad-based employee ownership in emerging and growing businesses by allowing employees to acquire genuine equity interests on a tax-deferred basis and participate in the long-term growth of the enterprise, rather than to attract early-stage risk capital from founders and external investors.</w:t>
      </w:r>
    </w:p>
    <w:p w:rsidR="00EA58AB" w:rsidRPr="00EA58AB" w:rsidP="00EA58AB" w14:paraId="155AF415" w14:textId="2E62B8B4">
      <w:pPr>
        <w:ind w:left="851"/>
        <w:rPr>
          <w:rFonts w:asciiTheme="majorHAnsi" w:hAnsiTheme="majorHAnsi" w:cstheme="majorHAnsi"/>
        </w:rPr>
      </w:pPr>
      <w:r w:rsidRPr="00EA58AB">
        <w:rPr>
          <w:rFonts w:asciiTheme="majorHAnsi" w:hAnsiTheme="majorHAnsi" w:cstheme="majorHAnsi"/>
        </w:rPr>
        <w:t>Accordingly, the start-up concession should continue to operate as a standalone regime. The eligibility criteria, investment caps, ownership limits and other restrictions proposed for the IBCC should not apply to employee equity interests issued under the start-up employee share scheme provisions.</w:t>
      </w:r>
      <w:r w:rsidR="004C5821">
        <w:rPr>
          <w:rFonts w:asciiTheme="majorHAnsi" w:hAnsiTheme="majorHAnsi" w:cstheme="majorHAnsi"/>
        </w:rPr>
        <w:t xml:space="preserve"> The IBCC is not </w:t>
      </w:r>
      <w:r w:rsidR="0038162C">
        <w:rPr>
          <w:rFonts w:asciiTheme="majorHAnsi" w:hAnsiTheme="majorHAnsi" w:cstheme="majorHAnsi"/>
        </w:rPr>
        <w:t xml:space="preserve">structured </w:t>
      </w:r>
      <w:r w:rsidR="004C5821">
        <w:rPr>
          <w:rFonts w:asciiTheme="majorHAnsi" w:hAnsiTheme="majorHAnsi" w:cstheme="majorHAnsi"/>
        </w:rPr>
        <w:t xml:space="preserve">as, nor is it appropriately tailored to, facilitate and promote employee ownership and as presently framed is inadequate to do so. </w:t>
      </w:r>
    </w:p>
    <w:p w:rsidR="00EA58AB" w:rsidRPr="00EA58AB" w:rsidP="00EA58AB" w14:paraId="5D52832C" w14:textId="2831CCAF">
      <w:pPr>
        <w:ind w:left="851"/>
        <w:rPr>
          <w:rFonts w:asciiTheme="majorHAnsi" w:hAnsiTheme="majorHAnsi" w:cstheme="majorHAnsi"/>
        </w:rPr>
      </w:pPr>
      <w:r w:rsidRPr="00EA58AB">
        <w:rPr>
          <w:rFonts w:asciiTheme="majorHAnsi" w:hAnsiTheme="majorHAnsi" w:cstheme="majorHAnsi"/>
        </w:rPr>
        <w:t>Applying the IBCC’s limitations to employee share scheme interests would significantly reduce the effectiveness of the existing start-up framework and undermine long-established arrangements that have successfully facilitated employee ownership in growth companies.</w:t>
      </w:r>
      <w:r w:rsidR="0038162C">
        <w:rPr>
          <w:rFonts w:asciiTheme="majorHAnsi" w:hAnsiTheme="majorHAnsi" w:cstheme="majorHAnsi"/>
        </w:rPr>
        <w:t xml:space="preserve"> Rather than seeking to address the impact of the capital gains tax changes to employee share schemes through a broad measure like the IBCC, the specific existing concession should be separately maintained. </w:t>
      </w:r>
    </w:p>
    <w:p w:rsidR="00EA58AB" w:rsidRPr="00755AFB" w:rsidP="00EA58AB" w14:paraId="417F1C01" w14:textId="77777777">
      <w:pPr>
        <w:ind w:left="851"/>
        <w:rPr>
          <w:rFonts w:asciiTheme="majorHAnsi" w:hAnsiTheme="majorHAnsi" w:cstheme="majorHAnsi"/>
          <w:b/>
          <w:bCs/>
          <w:u w:val="single"/>
        </w:rPr>
      </w:pPr>
      <w:r w:rsidRPr="00755AFB">
        <w:rPr>
          <w:rFonts w:asciiTheme="majorHAnsi" w:hAnsiTheme="majorHAnsi" w:cstheme="majorHAnsi"/>
          <w:b/>
          <w:bCs/>
          <w:u w:val="single"/>
        </w:rPr>
        <w:t>If Not Retained Independently, Existing Start-Up Scheme Interests Must Be Fully Grandfathered</w:t>
      </w:r>
    </w:p>
    <w:p w:rsidR="00EA58AB" w:rsidRPr="00EA58AB" w:rsidP="00EA58AB" w14:paraId="44623738" w14:textId="1A2162E4">
      <w:pPr>
        <w:ind w:left="851"/>
        <w:rPr>
          <w:rFonts w:asciiTheme="majorHAnsi" w:hAnsiTheme="majorHAnsi" w:cstheme="majorHAnsi"/>
        </w:rPr>
      </w:pPr>
      <w:r w:rsidRPr="00EA58AB">
        <w:rPr>
          <w:rFonts w:asciiTheme="majorHAnsi" w:hAnsiTheme="majorHAnsi" w:cstheme="majorHAnsi"/>
        </w:rPr>
        <w:t>If the Government does not accept Employee Ownership Australia’s paramount recommendation that the existing start-up concession be retained independently, Employee Ownership Australia strongly and unequivocally recommends, as an essential minimum protection, that all equity interests issued under the current start-up concession prior to the Budget announcement be fully grandfathered.</w:t>
      </w:r>
    </w:p>
    <w:p w:rsidR="00EA58AB" w:rsidRPr="00EA58AB" w:rsidP="00EA58AB" w14:paraId="06ED258E" w14:textId="77777777">
      <w:pPr>
        <w:ind w:left="851"/>
        <w:rPr>
          <w:rFonts w:asciiTheme="majorHAnsi" w:hAnsiTheme="majorHAnsi" w:cstheme="majorHAnsi"/>
        </w:rPr>
      </w:pPr>
      <w:r w:rsidRPr="00EA58AB">
        <w:rPr>
          <w:rFonts w:asciiTheme="majorHAnsi" w:hAnsiTheme="majorHAnsi" w:cstheme="majorHAnsi"/>
        </w:rPr>
        <w:t>In particular, the existing discounted capital gains tax treatment should continue to apply to all qualifying employee equity interests issued before the announcement date.</w:t>
      </w:r>
    </w:p>
    <w:p w:rsidR="00EA58AB" w:rsidP="00481D48" w14:paraId="224EC66D" w14:textId="68E7F1A1">
      <w:pPr>
        <w:ind w:left="851"/>
        <w:rPr>
          <w:rFonts w:asciiTheme="majorHAnsi" w:hAnsiTheme="majorHAnsi" w:cstheme="majorHAnsi"/>
        </w:rPr>
      </w:pPr>
      <w:r w:rsidRPr="00EA58AB">
        <w:rPr>
          <w:rFonts w:asciiTheme="majorHAnsi" w:hAnsiTheme="majorHAnsi" w:cstheme="majorHAnsi"/>
        </w:rPr>
        <w:t>This protection is necessary because participants acquired their interests on the basis of a clearly understood legislative framework. It would be entirely impractical and inequitable to require holders of existing interests to rely on a new concession containing eligibility requirements, compliance obligations and prescriptive rules that did not exist when the equity was originally provided. Retrospective removal of the current capital gains tax outcomes would undermine confidence in employee ownership arrangements and create significant uncertainty for participants.</w:t>
      </w:r>
    </w:p>
    <w:p w:rsidR="0052635A" w:rsidRPr="00EA58AB" w:rsidP="00481D48" w14:paraId="4FCD7833" w14:textId="1DBF7645">
      <w:pPr>
        <w:ind w:left="851"/>
        <w:rPr>
          <w:rFonts w:asciiTheme="majorHAnsi" w:hAnsiTheme="majorHAnsi" w:cstheme="majorHAnsi"/>
        </w:rPr>
      </w:pPr>
      <w:r>
        <w:rPr>
          <w:rFonts w:asciiTheme="majorHAnsi" w:hAnsiTheme="majorHAnsi" w:cstheme="majorHAnsi"/>
        </w:rPr>
        <w:t>The grandfathering should be implement</w:t>
      </w:r>
      <w:r w:rsidR="00EC7D39">
        <w:rPr>
          <w:rFonts w:asciiTheme="majorHAnsi" w:hAnsiTheme="majorHAnsi" w:cstheme="majorHAnsi"/>
        </w:rPr>
        <w:t>ed</w:t>
      </w:r>
      <w:r>
        <w:rPr>
          <w:rFonts w:asciiTheme="majorHAnsi" w:hAnsiTheme="majorHAnsi" w:cstheme="majorHAnsi"/>
        </w:rPr>
        <w:t xml:space="preserve"> outside of the proposed IBCC and should sit with the existing </w:t>
      </w:r>
      <w:r w:rsidRPr="00EA58AB">
        <w:rPr>
          <w:rFonts w:asciiTheme="majorHAnsi" w:hAnsiTheme="majorHAnsi" w:cstheme="majorHAnsi"/>
        </w:rPr>
        <w:t>start-up concession</w:t>
      </w:r>
      <w:r>
        <w:rPr>
          <w:rFonts w:asciiTheme="majorHAnsi" w:hAnsiTheme="majorHAnsi" w:cstheme="majorHAnsi"/>
        </w:rPr>
        <w:t xml:space="preserve"> in Subdivision 83A</w:t>
      </w:r>
      <w:r w:rsidR="00695059">
        <w:rPr>
          <w:rFonts w:asciiTheme="majorHAnsi" w:hAnsiTheme="majorHAnsi" w:cstheme="majorHAnsi"/>
        </w:rPr>
        <w:t>-C</w:t>
      </w:r>
      <w:r>
        <w:rPr>
          <w:rFonts w:asciiTheme="majorHAnsi" w:hAnsiTheme="majorHAnsi" w:cstheme="majorHAnsi"/>
        </w:rPr>
        <w:t xml:space="preserve"> of the 1997 Act.</w:t>
      </w:r>
    </w:p>
    <w:p w:rsidR="00EA58AB" w:rsidRPr="00057278" w:rsidP="00EA58AB" w14:paraId="431EFC65" w14:textId="77777777">
      <w:pPr>
        <w:ind w:left="851"/>
        <w:rPr>
          <w:rFonts w:asciiTheme="majorHAnsi" w:hAnsiTheme="majorHAnsi" w:cstheme="majorHAnsi"/>
          <w:b/>
          <w:bCs/>
          <w:u w:val="single"/>
        </w:rPr>
      </w:pPr>
      <w:r w:rsidRPr="00057278">
        <w:rPr>
          <w:rFonts w:asciiTheme="majorHAnsi" w:hAnsiTheme="majorHAnsi" w:cstheme="majorHAnsi"/>
          <w:b/>
          <w:bCs/>
          <w:u w:val="single"/>
        </w:rPr>
        <w:t>The $1,000 Exempt Employee Share Scheme Offers Should Continue Unchanged</w:t>
      </w:r>
    </w:p>
    <w:p w:rsidR="00EA58AB" w:rsidRPr="00EA58AB" w:rsidP="00EA58AB" w14:paraId="16C57C65" w14:textId="77777777">
      <w:pPr>
        <w:ind w:left="851"/>
        <w:rPr>
          <w:rFonts w:asciiTheme="majorHAnsi" w:hAnsiTheme="majorHAnsi" w:cstheme="majorHAnsi"/>
        </w:rPr>
      </w:pPr>
      <w:r w:rsidRPr="00EA58AB">
        <w:rPr>
          <w:rFonts w:asciiTheme="majorHAnsi" w:hAnsiTheme="majorHAnsi" w:cstheme="majorHAnsi"/>
        </w:rPr>
        <w:t>Employee Ownership Australia recommends that the current tax treatment applicable to employee share scheme interests issued under the existing $1,000 exemption continue to apply to all existing and future offers made under that regime.</w:t>
      </w:r>
    </w:p>
    <w:p w:rsidR="00EA58AB" w:rsidRPr="00EA58AB" w:rsidP="00EA58AB" w14:paraId="3141F008" w14:textId="77777777">
      <w:pPr>
        <w:ind w:left="851"/>
        <w:rPr>
          <w:rFonts w:asciiTheme="majorHAnsi" w:hAnsiTheme="majorHAnsi" w:cstheme="majorHAnsi"/>
        </w:rPr>
      </w:pPr>
      <w:r w:rsidRPr="00EA58AB">
        <w:rPr>
          <w:rFonts w:asciiTheme="majorHAnsi" w:hAnsiTheme="majorHAnsi" w:cstheme="majorHAnsi"/>
        </w:rPr>
        <w:t>The current framework provides a simple and effective mechanism for encouraging broad-based employee ownership. Requiring employers and employees participating in these arrangements to comply with the more complex IBCC rules would impose a disproportionate administrative burden.</w:t>
      </w:r>
    </w:p>
    <w:p w:rsidR="00EA58AB" w:rsidRPr="00EA58AB" w:rsidP="00EA58AB" w14:paraId="49A2255E" w14:textId="77777777">
      <w:pPr>
        <w:ind w:left="851"/>
        <w:rPr>
          <w:rFonts w:asciiTheme="majorHAnsi" w:hAnsiTheme="majorHAnsi" w:cstheme="majorHAnsi"/>
        </w:rPr>
      </w:pPr>
      <w:r w:rsidRPr="00EA58AB">
        <w:rPr>
          <w:rFonts w:asciiTheme="majorHAnsi" w:hAnsiTheme="majorHAnsi" w:cstheme="majorHAnsi"/>
        </w:rPr>
        <w:t>For many employers, particularly small and medium-sized businesses, the relevant arrangements involve relatively low-value interests being provided to a large number of employees. Imposing additional compliance obligations in these circumstances would create unnecessary complexity, confusion and red tape without any corresponding material reduction in revenue risk.</w:t>
      </w:r>
    </w:p>
    <w:p w:rsidR="00EA58AB" w:rsidRPr="00EA58AB" w:rsidP="00EA58AB" w14:paraId="6C806568" w14:textId="77777777">
      <w:pPr>
        <w:ind w:left="851"/>
        <w:rPr>
          <w:rFonts w:asciiTheme="majorHAnsi" w:hAnsiTheme="majorHAnsi" w:cstheme="majorHAnsi"/>
        </w:rPr>
      </w:pPr>
      <w:r w:rsidRPr="00EA58AB">
        <w:rPr>
          <w:rFonts w:asciiTheme="majorHAnsi" w:hAnsiTheme="majorHAnsi" w:cstheme="majorHAnsi"/>
        </w:rPr>
        <w:t>The Government should therefore preserve the operation of the existing exemption and avoid subjecting these arrangements to new regulatory requirements designed for fundamentally different policy objectives.</w:t>
      </w:r>
    </w:p>
    <w:p w:rsidR="00EA58AB" w:rsidRPr="00057278" w:rsidP="00EA58AB" w14:paraId="14BF33F4" w14:textId="77777777">
      <w:pPr>
        <w:ind w:left="851"/>
        <w:rPr>
          <w:rFonts w:asciiTheme="majorHAnsi" w:hAnsiTheme="majorHAnsi" w:cstheme="majorHAnsi"/>
          <w:b/>
          <w:bCs/>
          <w:u w:val="single"/>
        </w:rPr>
      </w:pPr>
      <w:r w:rsidRPr="00057278">
        <w:rPr>
          <w:rFonts w:asciiTheme="majorHAnsi" w:hAnsiTheme="majorHAnsi" w:cstheme="majorHAnsi"/>
          <w:b/>
          <w:bCs/>
          <w:u w:val="single"/>
        </w:rPr>
        <w:t>Grandfathering Provisions Must Operate Effectively Where the Form of the Interest Changes</w:t>
      </w:r>
    </w:p>
    <w:p w:rsidR="00EA58AB" w:rsidRPr="00EA58AB" w:rsidP="00EA58AB" w14:paraId="0638E425" w14:textId="2F72FF85">
      <w:pPr>
        <w:ind w:left="851"/>
        <w:rPr>
          <w:rFonts w:asciiTheme="majorHAnsi" w:hAnsiTheme="majorHAnsi" w:cstheme="majorHAnsi"/>
        </w:rPr>
      </w:pPr>
      <w:r w:rsidRPr="00EA58AB">
        <w:rPr>
          <w:rFonts w:asciiTheme="majorHAnsi" w:hAnsiTheme="majorHAnsi" w:cstheme="majorHAnsi"/>
        </w:rPr>
        <w:t>If grandfathering rules are introduced, specific provisions should be included to ensure that they operate effectively where the form of the relevant equity interest changes over time</w:t>
      </w:r>
      <w:r w:rsidR="00484AF1">
        <w:rPr>
          <w:rFonts w:asciiTheme="majorHAnsi" w:hAnsiTheme="majorHAnsi" w:cstheme="majorHAnsi"/>
        </w:rPr>
        <w:t xml:space="preserve">, </w:t>
      </w:r>
      <w:r w:rsidRPr="00EA58AB" w:rsidR="00484AF1">
        <w:rPr>
          <w:rFonts w:asciiTheme="majorHAnsi" w:hAnsiTheme="majorHAnsi" w:cstheme="majorHAnsi"/>
        </w:rPr>
        <w:t>including the exercise of options, conversion of rights, restructures, rollovers or equivalent transactions</w:t>
      </w:r>
      <w:r w:rsidRPr="00EA58AB">
        <w:rPr>
          <w:rFonts w:asciiTheme="majorHAnsi" w:hAnsiTheme="majorHAnsi" w:cstheme="majorHAnsi"/>
        </w:rPr>
        <w:t>.</w:t>
      </w:r>
    </w:p>
    <w:p w:rsidR="00EA58AB" w:rsidRPr="00EA58AB" w:rsidP="00543DCD" w14:paraId="4F952460" w14:textId="77777777">
      <w:pPr>
        <w:keepNext/>
        <w:keepLines/>
        <w:ind w:left="851"/>
        <w:rPr>
          <w:rFonts w:asciiTheme="majorHAnsi" w:hAnsiTheme="majorHAnsi" w:cstheme="majorHAnsi"/>
        </w:rPr>
      </w:pPr>
      <w:r w:rsidRPr="00EA58AB">
        <w:rPr>
          <w:rFonts w:asciiTheme="majorHAnsi" w:hAnsiTheme="majorHAnsi" w:cstheme="majorHAnsi"/>
        </w:rPr>
        <w:t>In particular, where an employee holds an option, performance right or similar interest that was issued under a grandfathered arrangement and that interest is subsequently exercised or converted into shares, the resulting share should retain the grandfathered status of the original interest. For this purpose, the original right and the share acquired on exercise should be treated as a single continuing asset for the application of the grandfathering provisions.</w:t>
      </w:r>
    </w:p>
    <w:p w:rsidR="00EA58AB" w:rsidRPr="00EA58AB" w:rsidP="00EA58AB" w14:paraId="27A154E9" w14:textId="77777777">
      <w:pPr>
        <w:ind w:left="851"/>
        <w:rPr>
          <w:rFonts w:asciiTheme="majorHAnsi" w:hAnsiTheme="majorHAnsi" w:cstheme="majorHAnsi"/>
        </w:rPr>
      </w:pPr>
      <w:r w:rsidRPr="00EA58AB">
        <w:rPr>
          <w:rFonts w:asciiTheme="majorHAnsi" w:hAnsiTheme="majorHAnsi" w:cstheme="majorHAnsi"/>
        </w:rPr>
        <w:t>Absent such a rule, a participant could lose grandfathered treatment merely because the ordinary operation of the employee share scheme requires an option or right to be exercised. This outcome would be contrary to the purpose of grandfathering and would create uncertainty for employees participating in long-term equity plans.</w:t>
      </w:r>
    </w:p>
    <w:p w:rsidR="00EA58AB" w:rsidRPr="00EA58AB" w:rsidP="00057278" w14:paraId="7704316E" w14:textId="55CB5B30">
      <w:pPr>
        <w:pStyle w:val="Heading1"/>
        <w:ind w:hanging="849"/>
        <w:rPr>
          <w:rFonts w:asciiTheme="majorHAnsi" w:hAnsiTheme="majorHAnsi" w:cstheme="majorHAnsi"/>
        </w:rPr>
      </w:pPr>
      <w:r w:rsidRPr="00EA58AB">
        <w:rPr>
          <w:rFonts w:asciiTheme="majorHAnsi" w:hAnsiTheme="majorHAnsi" w:cstheme="majorHAnsi"/>
        </w:rPr>
        <w:t>The IBCC Is Too Narrowly Targeted and Not Properly Integrated with the Existing ESS Regime</w:t>
      </w:r>
    </w:p>
    <w:p w:rsidR="00EA58AB" w:rsidRPr="004508A0" w:rsidP="00057278" w14:paraId="76E9529A" w14:textId="77777777">
      <w:pPr>
        <w:keepNext/>
        <w:ind w:left="851"/>
        <w:rPr>
          <w:rFonts w:asciiTheme="majorHAnsi" w:hAnsiTheme="majorHAnsi" w:cstheme="majorHAnsi"/>
          <w:b/>
          <w:bCs/>
        </w:rPr>
      </w:pPr>
      <w:r w:rsidRPr="004508A0">
        <w:rPr>
          <w:rFonts w:asciiTheme="majorHAnsi" w:hAnsiTheme="majorHAnsi" w:cstheme="majorHAnsi"/>
          <w:b/>
          <w:bCs/>
        </w:rPr>
        <w:t>Relevant consultation questions: Questions 1, 2 and 6</w:t>
      </w:r>
    </w:p>
    <w:p w:rsidR="00EA58AB" w:rsidRPr="004508A0" w:rsidP="00057278" w14:paraId="7012D1B5" w14:textId="77777777">
      <w:pPr>
        <w:keepNext/>
        <w:ind w:left="851"/>
        <w:rPr>
          <w:rFonts w:asciiTheme="majorHAnsi" w:hAnsiTheme="majorHAnsi" w:cstheme="majorHAnsi"/>
          <w:b/>
          <w:bCs/>
          <w:u w:val="single"/>
        </w:rPr>
      </w:pPr>
      <w:r w:rsidRPr="004508A0">
        <w:rPr>
          <w:rFonts w:asciiTheme="majorHAnsi" w:hAnsiTheme="majorHAnsi" w:cstheme="majorHAnsi"/>
          <w:b/>
          <w:bCs/>
          <w:u w:val="single"/>
        </w:rPr>
        <w:t>The Concession Must Be Designed with Employee Share Schemes as a Central — Not Peripheral — Consideration</w:t>
      </w:r>
    </w:p>
    <w:p w:rsidR="00EA58AB" w:rsidRPr="00EA58AB" w:rsidP="00EA58AB" w14:paraId="1D03FF06" w14:textId="1200DBC6">
      <w:pPr>
        <w:ind w:left="851"/>
        <w:rPr>
          <w:rFonts w:asciiTheme="majorHAnsi" w:hAnsiTheme="majorHAnsi" w:cstheme="majorHAnsi"/>
        </w:rPr>
      </w:pPr>
      <w:r>
        <w:rPr>
          <w:rFonts w:asciiTheme="majorHAnsi" w:hAnsiTheme="majorHAnsi" w:cstheme="majorHAnsi"/>
        </w:rPr>
        <w:t xml:space="preserve">The </w:t>
      </w:r>
      <w:r w:rsidRPr="00EA58AB">
        <w:rPr>
          <w:rFonts w:asciiTheme="majorHAnsi" w:hAnsiTheme="majorHAnsi" w:cstheme="majorHAnsi"/>
        </w:rPr>
        <w:t>proposed IBCC appears to have been designed primarily with founders and external investors in mind. Employee share scheme participants are identified as eligible but the detailed design does not adequately accommodate the mechanics of how employees actually receive, hold and dispose of equity.</w:t>
      </w:r>
    </w:p>
    <w:p w:rsidR="00EA58AB" w:rsidRPr="00EA58AB" w:rsidP="00EA58AB" w14:paraId="3D5B3CCE" w14:textId="77777777">
      <w:pPr>
        <w:ind w:left="851"/>
        <w:rPr>
          <w:rFonts w:asciiTheme="majorHAnsi" w:hAnsiTheme="majorHAnsi" w:cstheme="majorHAnsi"/>
        </w:rPr>
      </w:pPr>
      <w:r w:rsidRPr="00EA58AB">
        <w:rPr>
          <w:rFonts w:asciiTheme="majorHAnsi" w:hAnsiTheme="majorHAnsi" w:cstheme="majorHAnsi"/>
        </w:rPr>
        <w:t>No equivalent carve-out or preservation rule currently exists for ESS interests, despite the Consultation Paper providing for targeted treatment of other classes of participant. This is a significant omission.</w:t>
      </w:r>
    </w:p>
    <w:p w:rsidR="00EA58AB" w:rsidRPr="00EA58AB" w:rsidP="00EA58AB" w14:paraId="70388A71" w14:textId="4485B91B">
      <w:pPr>
        <w:ind w:left="851"/>
        <w:rPr>
          <w:rFonts w:asciiTheme="majorHAnsi" w:hAnsiTheme="majorHAnsi" w:cstheme="majorHAnsi"/>
        </w:rPr>
      </w:pPr>
      <w:r w:rsidRPr="00EA58AB">
        <w:rPr>
          <w:rFonts w:asciiTheme="majorHAnsi" w:hAnsiTheme="majorHAnsi" w:cstheme="majorHAnsi"/>
        </w:rPr>
        <w:t xml:space="preserve">Employee equity depends </w:t>
      </w:r>
      <w:r w:rsidRPr="00EA58AB" w:rsidR="00035967">
        <w:rPr>
          <w:rFonts w:asciiTheme="majorHAnsi" w:hAnsiTheme="majorHAnsi" w:cstheme="majorHAnsi"/>
        </w:rPr>
        <w:t>on</w:t>
      </w:r>
      <w:r w:rsidRPr="00EA58AB">
        <w:rPr>
          <w:rFonts w:asciiTheme="majorHAnsi" w:hAnsiTheme="majorHAnsi" w:cstheme="majorHAnsi"/>
        </w:rPr>
        <w:t xml:space="preserve"> deferral of the taxing point</w:t>
      </w:r>
      <w:r w:rsidR="00484AF1">
        <w:rPr>
          <w:rFonts w:asciiTheme="majorHAnsi" w:hAnsiTheme="majorHAnsi" w:cstheme="majorHAnsi"/>
        </w:rPr>
        <w:t>,</w:t>
      </w:r>
      <w:r w:rsidRPr="00EA58AB">
        <w:rPr>
          <w:rFonts w:asciiTheme="majorHAnsi" w:hAnsiTheme="majorHAnsi" w:cstheme="majorHAnsi"/>
        </w:rPr>
        <w:t xml:space="preserve"> capital account treatment</w:t>
      </w:r>
      <w:r w:rsidR="00484AF1">
        <w:rPr>
          <w:rFonts w:asciiTheme="majorHAnsi" w:hAnsiTheme="majorHAnsi" w:cstheme="majorHAnsi"/>
        </w:rPr>
        <w:t>,</w:t>
      </w:r>
      <w:r w:rsidRPr="00EA58AB">
        <w:rPr>
          <w:rFonts w:asciiTheme="majorHAnsi" w:hAnsiTheme="majorHAnsi" w:cstheme="majorHAnsi"/>
        </w:rPr>
        <w:t xml:space="preserve"> the ability to hold equity over time</w:t>
      </w:r>
      <w:r w:rsidR="00484AF1">
        <w:rPr>
          <w:rFonts w:asciiTheme="majorHAnsi" w:hAnsiTheme="majorHAnsi" w:cstheme="majorHAnsi"/>
        </w:rPr>
        <w:t>,</w:t>
      </w:r>
      <w:r w:rsidRPr="00EA58AB">
        <w:rPr>
          <w:rFonts w:asciiTheme="majorHAnsi" w:hAnsiTheme="majorHAnsi" w:cstheme="majorHAnsi"/>
        </w:rPr>
        <w:t xml:space="preserve"> access to the 50 per cent CGT discount where holding periods are met</w:t>
      </w:r>
      <w:r w:rsidR="00484AF1">
        <w:rPr>
          <w:rFonts w:asciiTheme="majorHAnsi" w:hAnsiTheme="majorHAnsi" w:cstheme="majorHAnsi"/>
        </w:rPr>
        <w:t>,</w:t>
      </w:r>
      <w:r w:rsidRPr="00EA58AB">
        <w:rPr>
          <w:rFonts w:asciiTheme="majorHAnsi" w:hAnsiTheme="majorHAnsi" w:cstheme="majorHAnsi"/>
        </w:rPr>
        <w:t xml:space="preserve"> and ESS-specific acquisition date and cost base rules. Without preservation of the discount, the concession is reduced to a mere timing deferral with no meaningful incentive on exit.</w:t>
      </w:r>
    </w:p>
    <w:p w:rsidR="00EA58AB" w:rsidRPr="00EA58AB" w:rsidP="00EA58AB" w14:paraId="44240890" w14:textId="77777777">
      <w:pPr>
        <w:ind w:left="851"/>
        <w:rPr>
          <w:rFonts w:asciiTheme="majorHAnsi" w:hAnsiTheme="majorHAnsi" w:cstheme="majorHAnsi"/>
        </w:rPr>
      </w:pPr>
      <w:r w:rsidRPr="00EA58AB">
        <w:rPr>
          <w:rFonts w:asciiTheme="majorHAnsi" w:hAnsiTheme="majorHAnsi" w:cstheme="majorHAnsi"/>
        </w:rPr>
        <w:t>Employee Ownership Australia recommends that the IBCC be redesigned to treat employee share scheme interests as a central design consideration, with specific rules addressing the unique characteristics of employee equity.</w:t>
      </w:r>
    </w:p>
    <w:p w:rsidR="00EA58AB" w:rsidRPr="00EA58AB" w:rsidP="004C3581" w14:paraId="35694B5D" w14:textId="5514C8CC">
      <w:pPr>
        <w:pStyle w:val="Heading1"/>
        <w:ind w:hanging="849"/>
        <w:rPr>
          <w:rFonts w:asciiTheme="majorHAnsi" w:hAnsiTheme="majorHAnsi" w:cstheme="majorHAnsi"/>
        </w:rPr>
      </w:pPr>
      <w:r w:rsidRPr="00EA58AB">
        <w:rPr>
          <w:rFonts w:asciiTheme="majorHAnsi" w:hAnsiTheme="majorHAnsi" w:cstheme="majorHAnsi"/>
        </w:rPr>
        <w:t>The New Equity Requirement and Employee Share Trusts</w:t>
      </w:r>
    </w:p>
    <w:p w:rsidR="00EA58AB" w:rsidRPr="00730470" w:rsidP="00EA58AB" w14:paraId="237CFA77" w14:textId="77777777">
      <w:pPr>
        <w:ind w:left="851"/>
        <w:rPr>
          <w:rFonts w:asciiTheme="majorHAnsi" w:hAnsiTheme="majorHAnsi" w:cstheme="majorHAnsi"/>
          <w:b/>
          <w:bCs/>
        </w:rPr>
      </w:pPr>
      <w:r w:rsidRPr="00730470">
        <w:rPr>
          <w:rFonts w:asciiTheme="majorHAnsi" w:hAnsiTheme="majorHAnsi" w:cstheme="majorHAnsi"/>
          <w:b/>
          <w:bCs/>
        </w:rPr>
        <w:t>Relevant consultation questions: Questions 1 and 7</w:t>
      </w:r>
    </w:p>
    <w:p w:rsidR="00EA58AB" w:rsidRPr="00DE36C9" w:rsidP="00EA58AB" w14:paraId="0CA16C3E" w14:textId="77777777">
      <w:pPr>
        <w:ind w:left="851"/>
        <w:rPr>
          <w:b/>
          <w:bCs/>
          <w:u w:val="single"/>
        </w:rPr>
      </w:pPr>
      <w:r w:rsidRPr="00DE36C9">
        <w:rPr>
          <w:b/>
          <w:bCs/>
          <w:u w:val="single"/>
        </w:rPr>
        <w:t>The “New Equity Only” Requirement Excludes Legitimate Employee Ownership Transactions</w:t>
      </w:r>
    </w:p>
    <w:p w:rsidR="00EA58AB" w:rsidRPr="00EA58AB" w:rsidP="00EA58AB" w14:paraId="27C2452A" w14:textId="77777777">
      <w:pPr>
        <w:ind w:left="851"/>
        <w:rPr>
          <w:rFonts w:asciiTheme="majorHAnsi" w:hAnsiTheme="majorHAnsi" w:cstheme="majorHAnsi"/>
        </w:rPr>
      </w:pPr>
      <w:r w:rsidRPr="00EA58AB">
        <w:rPr>
          <w:rFonts w:asciiTheme="majorHAnsi" w:hAnsiTheme="majorHAnsi" w:cstheme="majorHAnsi"/>
        </w:rPr>
        <w:t>The Consultation Paper proposes that the IBCC applies only to “new equity” issued after 30 June 2027. This requirement risks excluding a range of genuine employee ownership transactions that are commercially necessary and economically equivalent to new issuances.</w:t>
      </w:r>
    </w:p>
    <w:p w:rsidR="00EA58AB" w:rsidRPr="00EA58AB" w:rsidP="00EA58AB" w14:paraId="62E43067" w14:textId="77777777">
      <w:pPr>
        <w:ind w:left="851"/>
        <w:rPr>
          <w:rFonts w:asciiTheme="majorHAnsi" w:hAnsiTheme="majorHAnsi" w:cstheme="majorHAnsi"/>
        </w:rPr>
      </w:pPr>
      <w:r w:rsidRPr="00EA58AB">
        <w:rPr>
          <w:rFonts w:asciiTheme="majorHAnsi" w:hAnsiTheme="majorHAnsi" w:cstheme="majorHAnsi"/>
        </w:rPr>
        <w:t>In particular, employee share trusts commonly acquire shares from existing shareholders and warehouse them for later allocation to employees. This is a standard and commercially necessary mechanism that achieves the same policy outcome as new issuance — employees obtaining genuine equity exposure — but through a different legal pathway.</w:t>
      </w:r>
    </w:p>
    <w:p w:rsidR="00EA58AB" w:rsidRPr="00EA58AB" w:rsidP="00EA58AB" w14:paraId="6721B895" w14:textId="77777777">
      <w:pPr>
        <w:ind w:left="851"/>
        <w:rPr>
          <w:rFonts w:asciiTheme="majorHAnsi" w:hAnsiTheme="majorHAnsi" w:cstheme="majorHAnsi"/>
        </w:rPr>
      </w:pPr>
      <w:r w:rsidRPr="00EA58AB">
        <w:rPr>
          <w:rFonts w:asciiTheme="majorHAnsi" w:hAnsiTheme="majorHAnsi" w:cstheme="majorHAnsi"/>
        </w:rPr>
        <w:t>The new equity requirement, as presently framed, would exclude:</w:t>
      </w:r>
    </w:p>
    <w:p w:rsidR="00EA58AB" w:rsidRPr="009C60CE" w:rsidP="00864D34" w14:paraId="13B30BD1" w14:textId="484B0907">
      <w:pPr>
        <w:pStyle w:val="ListBulletIndent"/>
        <w:numPr>
          <w:ilvl w:val="3"/>
          <w:numId w:val="20"/>
        </w:numPr>
        <w:ind w:left="1211"/>
      </w:pPr>
      <w:r w:rsidRPr="00EA58AB">
        <w:rPr>
          <w:rFonts w:asciiTheme="majorHAnsi" w:hAnsiTheme="majorHAnsi" w:cstheme="majorHAnsi"/>
        </w:rPr>
        <w:t xml:space="preserve">employee share trusts acquiring shares from existing shareholders for later allocation </w:t>
      </w:r>
      <w:r w:rsidRPr="009C60CE">
        <w:t>to employees;</w:t>
      </w:r>
    </w:p>
    <w:p w:rsidR="00EA58AB" w:rsidRPr="009C60CE" w:rsidP="00864D34" w14:paraId="56D902AD" w14:textId="5F11BDD1">
      <w:pPr>
        <w:pStyle w:val="ListBulletIndent"/>
        <w:numPr>
          <w:ilvl w:val="3"/>
          <w:numId w:val="20"/>
        </w:numPr>
        <w:ind w:left="1211"/>
      </w:pPr>
      <w:r w:rsidRPr="009C60CE">
        <w:t>founders selling small proportions of their holding to provide liquidity or facilitate employee participation;</w:t>
      </w:r>
    </w:p>
    <w:p w:rsidR="00EA58AB" w:rsidRPr="009C60CE" w:rsidP="00864D34" w14:paraId="5E489810" w14:textId="48C0A3D5">
      <w:pPr>
        <w:pStyle w:val="ListBulletIndent"/>
        <w:numPr>
          <w:ilvl w:val="3"/>
          <w:numId w:val="20"/>
        </w:numPr>
        <w:ind w:left="1211"/>
      </w:pPr>
      <w:r w:rsidRPr="009C60CE">
        <w:t>early employees selling shares to diversify risk where the buyer is an employee share trust or another employee;</w:t>
      </w:r>
    </w:p>
    <w:p w:rsidR="00EA58AB" w:rsidRPr="009C60CE" w:rsidP="00864D34" w14:paraId="21FE8943" w14:textId="1256573A">
      <w:pPr>
        <w:pStyle w:val="ListBulletIndent"/>
        <w:numPr>
          <w:ilvl w:val="3"/>
          <w:numId w:val="20"/>
        </w:numPr>
        <w:ind w:left="1211"/>
      </w:pPr>
      <w:r w:rsidRPr="009C60CE">
        <w:t>management equity reallocated in growth transactions; and</w:t>
      </w:r>
    </w:p>
    <w:p w:rsidR="00EA58AB" w:rsidRPr="009C60CE" w:rsidP="00864D34" w14:paraId="3CE494F3" w14:textId="2F3F8771">
      <w:pPr>
        <w:pStyle w:val="ListBulletIndent"/>
        <w:numPr>
          <w:ilvl w:val="3"/>
          <w:numId w:val="20"/>
        </w:numPr>
        <w:ind w:left="1211"/>
      </w:pPr>
      <w:r w:rsidRPr="009C60CE">
        <w:t>shares forfeited by departing employees and reallocated to new employees through the trust.</w:t>
      </w:r>
    </w:p>
    <w:p w:rsidR="00EA58AB" w:rsidRPr="005C4BE8" w:rsidP="00057278" w14:paraId="2832FE4D" w14:textId="77777777">
      <w:pPr>
        <w:keepNext/>
        <w:ind w:left="851"/>
        <w:rPr>
          <w:rFonts w:asciiTheme="majorHAnsi" w:hAnsiTheme="majorHAnsi" w:cstheme="majorHAnsi"/>
          <w:b/>
          <w:bCs/>
          <w:u w:val="single"/>
        </w:rPr>
      </w:pPr>
      <w:r w:rsidRPr="005C4BE8">
        <w:rPr>
          <w:rFonts w:asciiTheme="majorHAnsi" w:hAnsiTheme="majorHAnsi" w:cstheme="majorHAnsi"/>
          <w:b/>
          <w:bCs/>
          <w:u w:val="single"/>
        </w:rPr>
        <w:t>Specific Rules Are Needed for Employee Share Trusts</w:t>
      </w:r>
    </w:p>
    <w:p w:rsidR="00EA58AB" w:rsidRPr="00EA58AB" w:rsidP="00057278" w14:paraId="4752A983" w14:textId="77777777">
      <w:pPr>
        <w:keepNext/>
        <w:ind w:left="851"/>
        <w:rPr>
          <w:rFonts w:asciiTheme="majorHAnsi" w:hAnsiTheme="majorHAnsi" w:cstheme="majorHAnsi"/>
        </w:rPr>
      </w:pPr>
      <w:r w:rsidRPr="00EA58AB">
        <w:rPr>
          <w:rFonts w:asciiTheme="majorHAnsi" w:hAnsiTheme="majorHAnsi" w:cstheme="majorHAnsi"/>
        </w:rPr>
        <w:t>Employee Ownership Australia recommends that the legislation include specific rules covering the following employee share trust transactions:</w:t>
      </w:r>
    </w:p>
    <w:p w:rsidR="00EA58AB" w:rsidRPr="009C60CE" w:rsidP="00864D34" w14:paraId="493DE2C0" w14:textId="1770B832">
      <w:pPr>
        <w:pStyle w:val="ListBulletIndent"/>
        <w:numPr>
          <w:ilvl w:val="3"/>
          <w:numId w:val="20"/>
        </w:numPr>
        <w:ind w:left="1211"/>
      </w:pPr>
      <w:r w:rsidRPr="009C60CE">
        <w:t>acquisition of shares by a trustee from existing shareholders for the purpose of later allocation to employees;</w:t>
      </w:r>
    </w:p>
    <w:p w:rsidR="00EA58AB" w:rsidRPr="005C4BE8" w:rsidP="00864D34" w14:paraId="6630C99F" w14:textId="591C5E9C">
      <w:pPr>
        <w:pStyle w:val="ListBulletIndent"/>
        <w:numPr>
          <w:ilvl w:val="3"/>
          <w:numId w:val="20"/>
        </w:numPr>
        <w:ind w:left="1211"/>
      </w:pPr>
      <w:r w:rsidRPr="005C4BE8">
        <w:t>warehousing of shares by the trustee pending allocation;</w:t>
      </w:r>
    </w:p>
    <w:p w:rsidR="00EA58AB" w:rsidRPr="005C4BE8" w:rsidP="00864D34" w14:paraId="78B3CBD9" w14:textId="6468BE0D">
      <w:pPr>
        <w:pStyle w:val="ListBulletIndent"/>
        <w:numPr>
          <w:ilvl w:val="3"/>
          <w:numId w:val="20"/>
        </w:numPr>
        <w:ind w:left="1211"/>
      </w:pPr>
      <w:r w:rsidRPr="005C4BE8">
        <w:t xml:space="preserve">later allocation of </w:t>
      </w:r>
      <w:r w:rsidRPr="005C4BE8">
        <w:t>warehoused</w:t>
      </w:r>
      <w:r w:rsidRPr="005C4BE8">
        <w:t xml:space="preserve"> shares to employees under an approved plan;</w:t>
      </w:r>
    </w:p>
    <w:p w:rsidR="00EA58AB" w:rsidRPr="005C4BE8" w:rsidP="00864D34" w14:paraId="24A04409" w14:textId="106FD76A">
      <w:pPr>
        <w:pStyle w:val="ListBulletIndent"/>
        <w:numPr>
          <w:ilvl w:val="3"/>
          <w:numId w:val="20"/>
        </w:numPr>
        <w:ind w:left="1211"/>
      </w:pPr>
      <w:r w:rsidRPr="005C4BE8">
        <w:t>forfeiture and reallocation of shares where an employee ceases employment before vesting;</w:t>
      </w:r>
    </w:p>
    <w:p w:rsidR="00EA58AB" w:rsidRPr="005C4BE8" w:rsidP="00864D34" w14:paraId="335EDF04" w14:textId="18905EF1">
      <w:pPr>
        <w:pStyle w:val="ListBulletIndent"/>
        <w:numPr>
          <w:ilvl w:val="3"/>
          <w:numId w:val="20"/>
        </w:numPr>
        <w:ind w:left="1211"/>
      </w:pPr>
      <w:r w:rsidRPr="005C4BE8">
        <w:t>trustee-level disposals (including sales to fund plan administration or satisfy tax withholding obligations); and</w:t>
      </w:r>
    </w:p>
    <w:p w:rsidR="00EA58AB" w:rsidRPr="005C4BE8" w:rsidP="00864D34" w14:paraId="599E7CCF" w14:textId="3CA94C8B">
      <w:pPr>
        <w:pStyle w:val="ListBulletIndent"/>
        <w:numPr>
          <w:ilvl w:val="3"/>
          <w:numId w:val="20"/>
        </w:numPr>
        <w:ind w:left="1211"/>
      </w:pPr>
      <w:r w:rsidRPr="005C4BE8">
        <w:t>beneficiary-level qualification, such that the employee beneficiary can access the IBCC where the underlying shares satisfy the eligibility criteria regardless of the trust’s acquisition pathway.</w:t>
      </w:r>
    </w:p>
    <w:p w:rsidR="00EA58AB" w:rsidRPr="00EA58AB" w:rsidP="00EA58AB" w14:paraId="302701AB" w14:textId="77777777">
      <w:pPr>
        <w:ind w:left="851"/>
        <w:rPr>
          <w:rFonts w:asciiTheme="majorHAnsi" w:hAnsiTheme="majorHAnsi" w:cstheme="majorHAnsi"/>
        </w:rPr>
      </w:pPr>
      <w:r w:rsidRPr="00EA58AB">
        <w:rPr>
          <w:rFonts w:asciiTheme="majorHAnsi" w:hAnsiTheme="majorHAnsi" w:cstheme="majorHAnsi"/>
        </w:rPr>
        <w:t>These rules should ensure that the IBCC’s policy objective — encouraging innovation through equity participation — is not defeated by the legal form in which employee equity is held or acquired.</w:t>
      </w:r>
    </w:p>
    <w:p w:rsidR="00EA58AB" w:rsidRPr="00EA58AB" w:rsidP="004C3581" w14:paraId="6377C93F" w14:textId="45193A9C">
      <w:pPr>
        <w:pStyle w:val="Heading1"/>
        <w:ind w:hanging="849"/>
        <w:rPr>
          <w:rFonts w:asciiTheme="majorHAnsi" w:hAnsiTheme="majorHAnsi" w:cstheme="majorHAnsi"/>
        </w:rPr>
      </w:pPr>
      <w:r w:rsidRPr="00EA58AB">
        <w:rPr>
          <w:rFonts w:asciiTheme="majorHAnsi" w:hAnsiTheme="majorHAnsi" w:cstheme="majorHAnsi"/>
        </w:rPr>
        <w:t>Innovation Testing and Certification</w:t>
      </w:r>
    </w:p>
    <w:p w:rsidR="00EA58AB" w:rsidRPr="00730470" w:rsidP="00EA58AB" w14:paraId="057064B6" w14:textId="77777777">
      <w:pPr>
        <w:ind w:left="851"/>
        <w:rPr>
          <w:rFonts w:asciiTheme="majorHAnsi" w:hAnsiTheme="majorHAnsi" w:cstheme="majorHAnsi"/>
          <w:b/>
          <w:bCs/>
        </w:rPr>
      </w:pPr>
      <w:r w:rsidRPr="00730470">
        <w:rPr>
          <w:rFonts w:asciiTheme="majorHAnsi" w:hAnsiTheme="majorHAnsi" w:cstheme="majorHAnsi"/>
          <w:b/>
          <w:bCs/>
        </w:rPr>
        <w:t>Relevant consultation question: Question 4</w:t>
      </w:r>
    </w:p>
    <w:p w:rsidR="00EA58AB" w:rsidRPr="00730470" w:rsidP="00EA58AB" w14:paraId="43D44008" w14:textId="77777777">
      <w:pPr>
        <w:ind w:left="851"/>
        <w:rPr>
          <w:rFonts w:asciiTheme="majorHAnsi" w:hAnsiTheme="majorHAnsi" w:cstheme="majorHAnsi"/>
          <w:b/>
          <w:bCs/>
          <w:u w:val="single"/>
        </w:rPr>
      </w:pPr>
      <w:r w:rsidRPr="00730470">
        <w:rPr>
          <w:rFonts w:asciiTheme="majorHAnsi" w:hAnsiTheme="majorHAnsi" w:cstheme="majorHAnsi"/>
          <w:b/>
          <w:bCs/>
          <w:u w:val="single"/>
        </w:rPr>
        <w:t>The ESIC-Style Innovation Principles Test Creates Unacceptable Uncertainty for Employees</w:t>
      </w:r>
    </w:p>
    <w:p w:rsidR="00EA58AB" w:rsidRPr="00EA58AB" w:rsidP="00EA58AB" w14:paraId="40A9494D" w14:textId="77777777">
      <w:pPr>
        <w:ind w:left="851"/>
        <w:rPr>
          <w:rFonts w:asciiTheme="majorHAnsi" w:hAnsiTheme="majorHAnsi" w:cstheme="majorHAnsi"/>
        </w:rPr>
      </w:pPr>
      <w:r w:rsidRPr="00EA58AB">
        <w:rPr>
          <w:rFonts w:asciiTheme="majorHAnsi" w:hAnsiTheme="majorHAnsi" w:cstheme="majorHAnsi"/>
        </w:rPr>
        <w:t xml:space="preserve">The Consultation Paper proposes that qualifying companies satisfy an innovation requirement based on principles similar to the </w:t>
      </w:r>
      <w:r w:rsidRPr="00EA58AB">
        <w:rPr>
          <w:rFonts w:asciiTheme="majorHAnsi" w:hAnsiTheme="majorHAnsi" w:cstheme="majorHAnsi"/>
        </w:rPr>
        <w:t>Early Stage</w:t>
      </w:r>
      <w:r w:rsidRPr="00EA58AB">
        <w:rPr>
          <w:rFonts w:asciiTheme="majorHAnsi" w:hAnsiTheme="majorHAnsi" w:cstheme="majorHAnsi"/>
        </w:rPr>
        <w:t xml:space="preserve"> Innovation Company (</w:t>
      </w:r>
      <w:r w:rsidRPr="00602B07">
        <w:rPr>
          <w:rFonts w:asciiTheme="majorHAnsi" w:hAnsiTheme="majorHAnsi" w:cstheme="majorHAnsi"/>
          <w:b/>
          <w:bCs/>
        </w:rPr>
        <w:t>ESIC</w:t>
      </w:r>
      <w:r w:rsidRPr="00EA58AB">
        <w:rPr>
          <w:rFonts w:asciiTheme="majorHAnsi" w:hAnsiTheme="majorHAnsi" w:cstheme="majorHAnsi"/>
        </w:rPr>
        <w:t>) framework. This requires detailed factual, technical and commercial analysis, professional advice, extensive documentation, and often engagement with the Australian Taxation Office through private rulings.</w:t>
      </w:r>
    </w:p>
    <w:p w:rsidR="00EA58AB" w:rsidRPr="00EA58AB" w:rsidP="00EA58AB" w14:paraId="396DD302" w14:textId="77777777">
      <w:pPr>
        <w:ind w:left="851"/>
        <w:rPr>
          <w:rFonts w:asciiTheme="majorHAnsi" w:hAnsiTheme="majorHAnsi" w:cstheme="majorHAnsi"/>
        </w:rPr>
      </w:pPr>
      <w:r w:rsidRPr="00EA58AB">
        <w:rPr>
          <w:rFonts w:asciiTheme="majorHAnsi" w:hAnsiTheme="majorHAnsi" w:cstheme="majorHAnsi"/>
        </w:rPr>
        <w:t>This framework is inherently problematic for employees. Individual employees cannot realistically assess whether their employer satisfies the innovation criteria. They lack access to the company’s technical documentation, R&amp;D expenditure records, patent portfolios, and strategic plans. They cannot commission independent expert opinions or lodge private ruling applications.</w:t>
      </w:r>
    </w:p>
    <w:p w:rsidR="00EA58AB" w:rsidRPr="00EA58AB" w:rsidP="00EA58AB" w14:paraId="4544CADE" w14:textId="77777777">
      <w:pPr>
        <w:ind w:left="851"/>
        <w:rPr>
          <w:rFonts w:asciiTheme="majorHAnsi" w:hAnsiTheme="majorHAnsi" w:cstheme="majorHAnsi"/>
        </w:rPr>
      </w:pPr>
      <w:r w:rsidRPr="00EA58AB">
        <w:rPr>
          <w:rFonts w:asciiTheme="majorHAnsi" w:hAnsiTheme="majorHAnsi" w:cstheme="majorHAnsi"/>
        </w:rPr>
        <w:t>It would be anomalous for employees to bear the risk that their employer fails to satisfy innovation criteria that the employees cannot themselves verify or influence.</w:t>
      </w:r>
    </w:p>
    <w:p w:rsidR="00EA58AB" w:rsidRPr="00057278" w:rsidP="00543DCD" w14:paraId="7B278A00" w14:textId="77777777">
      <w:pPr>
        <w:keepNext/>
        <w:keepLines/>
        <w:ind w:left="851"/>
        <w:rPr>
          <w:rFonts w:asciiTheme="majorHAnsi" w:hAnsiTheme="majorHAnsi" w:cstheme="majorHAnsi"/>
          <w:b/>
          <w:bCs/>
          <w:u w:val="single"/>
        </w:rPr>
      </w:pPr>
      <w:r w:rsidRPr="00057278">
        <w:rPr>
          <w:rFonts w:asciiTheme="majorHAnsi" w:hAnsiTheme="majorHAnsi" w:cstheme="majorHAnsi"/>
          <w:b/>
          <w:bCs/>
          <w:u w:val="single"/>
        </w:rPr>
        <w:t>A Binding, Company-Level Certification Pathway Is Essential</w:t>
      </w:r>
    </w:p>
    <w:p w:rsidR="00EA58AB" w:rsidRPr="00EA58AB" w:rsidP="00543DCD" w14:paraId="36E61CA9" w14:textId="77777777">
      <w:pPr>
        <w:keepNext/>
        <w:keepLines/>
        <w:ind w:left="851"/>
        <w:rPr>
          <w:rFonts w:asciiTheme="majorHAnsi" w:hAnsiTheme="majorHAnsi" w:cstheme="majorHAnsi"/>
        </w:rPr>
      </w:pPr>
      <w:r w:rsidRPr="00EA58AB">
        <w:rPr>
          <w:rFonts w:asciiTheme="majorHAnsi" w:hAnsiTheme="majorHAnsi" w:cstheme="majorHAnsi"/>
        </w:rPr>
        <w:t>Employee Ownership Australia recommends the introduction of a binding, company-level certification pathway with the following characteristics:</w:t>
      </w:r>
    </w:p>
    <w:p w:rsidR="00EA58AB" w:rsidRPr="005C4BE8" w:rsidP="00864D34" w14:paraId="34E64035" w14:textId="7C6F6750">
      <w:pPr>
        <w:pStyle w:val="ListBulletIndent"/>
        <w:numPr>
          <w:ilvl w:val="3"/>
          <w:numId w:val="20"/>
        </w:numPr>
        <w:ind w:left="1211"/>
      </w:pPr>
      <w:r w:rsidRPr="005C4BE8">
        <w:t>administered by a government agency with relevant expertise (for example, the Department of Industry, Science and Resources);</w:t>
      </w:r>
    </w:p>
    <w:p w:rsidR="00EA58AB" w:rsidRPr="005C4BE8" w:rsidP="00864D34" w14:paraId="003A0FAB" w14:textId="740DCC84">
      <w:pPr>
        <w:pStyle w:val="ListBulletIndent"/>
        <w:numPr>
          <w:ilvl w:val="3"/>
          <w:numId w:val="20"/>
        </w:numPr>
        <w:ind w:left="1211"/>
      </w:pPr>
      <w:r w:rsidRPr="005C4BE8">
        <w:t>prospective in operation, giving certainty from the date of certification;</w:t>
      </w:r>
    </w:p>
    <w:p w:rsidR="00EA58AB" w:rsidRPr="005C4BE8" w:rsidP="00864D34" w14:paraId="4E77C180" w14:textId="5578CBB9">
      <w:pPr>
        <w:pStyle w:val="ListBulletIndent"/>
        <w:numPr>
          <w:ilvl w:val="3"/>
          <w:numId w:val="20"/>
        </w:numPr>
        <w:ind w:left="1211"/>
      </w:pPr>
      <w:r w:rsidRPr="005C4BE8">
        <w:t>legally binding on all participants (founders, employees, investors, trustees) for a defined period;</w:t>
      </w:r>
    </w:p>
    <w:p w:rsidR="00EA58AB" w:rsidRPr="005C4BE8" w:rsidP="00864D34" w14:paraId="6347360C" w14:textId="400EE89B">
      <w:pPr>
        <w:pStyle w:val="ListBulletIndent"/>
        <w:numPr>
          <w:ilvl w:val="3"/>
          <w:numId w:val="20"/>
        </w:numPr>
        <w:ind w:left="1211"/>
      </w:pPr>
      <w:r w:rsidRPr="005C4BE8">
        <w:t>accessible and affordable for early-stage companies;</w:t>
      </w:r>
    </w:p>
    <w:p w:rsidR="00EA58AB" w:rsidRPr="005C4BE8" w:rsidP="00864D34" w14:paraId="3DF15DD3" w14:textId="3678571C">
      <w:pPr>
        <w:pStyle w:val="ListBulletIndent"/>
        <w:numPr>
          <w:ilvl w:val="3"/>
          <w:numId w:val="20"/>
        </w:numPr>
        <w:ind w:left="1211"/>
      </w:pPr>
      <w:r w:rsidRPr="005C4BE8">
        <w:t>renewable at defined intervals; and</w:t>
      </w:r>
    </w:p>
    <w:p w:rsidR="00EA58AB" w:rsidRPr="005C4BE8" w:rsidP="00864D34" w14:paraId="6FA93DF8" w14:textId="79DE3C60">
      <w:pPr>
        <w:pStyle w:val="ListBulletIndent"/>
        <w:numPr>
          <w:ilvl w:val="3"/>
          <w:numId w:val="20"/>
        </w:numPr>
        <w:ind w:left="1211"/>
      </w:pPr>
      <w:r w:rsidRPr="005C4BE8">
        <w:t>revocable only for fraud, material misstatement, or material change in circumstances.</w:t>
      </w:r>
    </w:p>
    <w:p w:rsidR="00EA58AB" w:rsidRPr="005C4BE8" w:rsidP="00057278" w14:paraId="4ABB3686" w14:textId="77777777">
      <w:pPr>
        <w:keepNext/>
        <w:ind w:left="851"/>
        <w:rPr>
          <w:rFonts w:asciiTheme="majorHAnsi" w:hAnsiTheme="majorHAnsi" w:cstheme="majorHAnsi"/>
          <w:b/>
          <w:bCs/>
          <w:u w:val="single"/>
        </w:rPr>
      </w:pPr>
      <w:r w:rsidRPr="005C4BE8">
        <w:rPr>
          <w:rFonts w:asciiTheme="majorHAnsi" w:hAnsiTheme="majorHAnsi" w:cstheme="majorHAnsi"/>
          <w:b/>
          <w:bCs/>
          <w:u w:val="single"/>
        </w:rPr>
        <w:t>An Objective Points-Based Alternative Should Be Available</w:t>
      </w:r>
    </w:p>
    <w:p w:rsidR="00EA58AB" w:rsidRPr="00EA58AB" w:rsidP="00057278" w14:paraId="0B278E05" w14:textId="77777777">
      <w:pPr>
        <w:keepNext/>
        <w:ind w:left="851"/>
        <w:rPr>
          <w:rFonts w:asciiTheme="majorHAnsi" w:hAnsiTheme="majorHAnsi" w:cstheme="majorHAnsi"/>
        </w:rPr>
      </w:pPr>
      <w:r w:rsidRPr="00EA58AB">
        <w:rPr>
          <w:rFonts w:asciiTheme="majorHAnsi" w:hAnsiTheme="majorHAnsi" w:cstheme="majorHAnsi"/>
        </w:rPr>
        <w:t>In addition to or as an alternative to the principles-based test, Employee Ownership Australia recommends an objective points-based test under which companies could qualify by demonstrating satisfaction of a defined number of objective criteria, including:</w:t>
      </w:r>
    </w:p>
    <w:p w:rsidR="00EA58AB" w:rsidRPr="005C4BE8" w:rsidP="00864D34" w14:paraId="07801968" w14:textId="0AC5C0B5">
      <w:pPr>
        <w:pStyle w:val="ListBulletIndent"/>
        <w:numPr>
          <w:ilvl w:val="3"/>
          <w:numId w:val="20"/>
        </w:numPr>
        <w:ind w:left="1211"/>
      </w:pPr>
      <w:r w:rsidRPr="005C4BE8">
        <w:t>minimum R&amp;D expenditure (as a percentage of revenue or as a fixed amount);</w:t>
      </w:r>
    </w:p>
    <w:p w:rsidR="00EA58AB" w:rsidRPr="005C4BE8" w:rsidP="00864D34" w14:paraId="585B581D" w14:textId="17A09C10">
      <w:pPr>
        <w:pStyle w:val="ListBulletIndent"/>
        <w:numPr>
          <w:ilvl w:val="3"/>
          <w:numId w:val="20"/>
        </w:numPr>
        <w:ind w:left="1211"/>
      </w:pPr>
      <w:r w:rsidRPr="005C4BE8">
        <w:t>registered intellectual property or pending patent applications;</w:t>
      </w:r>
    </w:p>
    <w:p w:rsidR="00EA58AB" w:rsidRPr="005C4BE8" w:rsidP="00864D34" w14:paraId="43502641" w14:textId="3381C32F">
      <w:pPr>
        <w:pStyle w:val="ListBulletIndent"/>
        <w:numPr>
          <w:ilvl w:val="3"/>
          <w:numId w:val="20"/>
        </w:numPr>
        <w:ind w:left="1211"/>
      </w:pPr>
      <w:r w:rsidRPr="005C4BE8">
        <w:t xml:space="preserve">receipt of </w:t>
      </w:r>
      <w:r w:rsidRPr="005C4BE8">
        <w:t>commercialisation</w:t>
      </w:r>
      <w:r w:rsidRPr="005C4BE8">
        <w:t xml:space="preserve"> grants from government agencies;</w:t>
      </w:r>
    </w:p>
    <w:p w:rsidR="00EA58AB" w:rsidRPr="005C4BE8" w:rsidP="00864D34" w14:paraId="74D85DA8" w14:textId="1CAE1920">
      <w:pPr>
        <w:pStyle w:val="ListBulletIndent"/>
        <w:numPr>
          <w:ilvl w:val="3"/>
          <w:numId w:val="20"/>
        </w:numPr>
        <w:ind w:left="1211"/>
      </w:pPr>
      <w:r w:rsidRPr="005C4BE8">
        <w:t>participation in recognised accelerator or incubator programs;</w:t>
      </w:r>
    </w:p>
    <w:p w:rsidR="00EA58AB" w:rsidRPr="005C4BE8" w:rsidP="00864D34" w14:paraId="2B8DF244" w14:textId="41BF2954">
      <w:pPr>
        <w:pStyle w:val="ListBulletIndent"/>
        <w:numPr>
          <w:ilvl w:val="3"/>
          <w:numId w:val="20"/>
        </w:numPr>
        <w:ind w:left="1211"/>
      </w:pPr>
      <w:r w:rsidRPr="005C4BE8">
        <w:t>investment by a registered VCLP or ESVCLP;</w:t>
      </w:r>
    </w:p>
    <w:p w:rsidR="00EA58AB" w:rsidRPr="005C4BE8" w:rsidP="00864D34" w14:paraId="7F93D478" w14:textId="0F350E2D">
      <w:pPr>
        <w:pStyle w:val="ListBulletIndent"/>
        <w:numPr>
          <w:ilvl w:val="3"/>
          <w:numId w:val="20"/>
        </w:numPr>
        <w:ind w:left="1211"/>
      </w:pPr>
      <w:r w:rsidRPr="005C4BE8">
        <w:t>completion of regulatory pathway milestones (for biotech, medtech or deep tech);</w:t>
      </w:r>
    </w:p>
    <w:p w:rsidR="00EA58AB" w:rsidRPr="005C4BE8" w:rsidP="00864D34" w14:paraId="654B0184" w14:textId="63ACC80E">
      <w:pPr>
        <w:pStyle w:val="ListBulletIndent"/>
        <w:numPr>
          <w:ilvl w:val="3"/>
          <w:numId w:val="20"/>
        </w:numPr>
        <w:ind w:left="1211"/>
      </w:pPr>
      <w:r w:rsidRPr="005C4BE8">
        <w:t>formal university or research institution collaboration;</w:t>
      </w:r>
    </w:p>
    <w:p w:rsidR="00EA58AB" w:rsidRPr="005C4BE8" w:rsidP="00864D34" w14:paraId="098623F6" w14:textId="31C17466">
      <w:pPr>
        <w:pStyle w:val="ListBulletIndent"/>
        <w:numPr>
          <w:ilvl w:val="3"/>
          <w:numId w:val="20"/>
        </w:numPr>
        <w:ind w:left="1211"/>
      </w:pPr>
      <w:r w:rsidRPr="005C4BE8">
        <w:t>export or global market activity;</w:t>
      </w:r>
    </w:p>
    <w:p w:rsidR="00EA58AB" w:rsidRPr="005C4BE8" w:rsidP="00864D34" w14:paraId="7A1E4345" w14:textId="0F8BA16C">
      <w:pPr>
        <w:pStyle w:val="ListBulletIndent"/>
        <w:numPr>
          <w:ilvl w:val="3"/>
          <w:numId w:val="20"/>
        </w:numPr>
        <w:ind w:left="1211"/>
      </w:pPr>
      <w:r w:rsidRPr="005C4BE8">
        <w:t>material</w:t>
      </w:r>
      <w:r w:rsidRPr="005C4BE8">
        <w:t xml:space="preserve"> technology or product development expenditure; and</w:t>
      </w:r>
    </w:p>
    <w:p w:rsidR="00EA58AB" w:rsidRPr="005C4BE8" w:rsidP="00864D34" w14:paraId="7607A307" w14:textId="262F6C1F">
      <w:pPr>
        <w:pStyle w:val="ListBulletIndent"/>
        <w:numPr>
          <w:ilvl w:val="3"/>
          <w:numId w:val="20"/>
        </w:numPr>
        <w:ind w:left="1211"/>
      </w:pPr>
      <w:r w:rsidRPr="005C4BE8">
        <w:t>certification by a relevant government agency.</w:t>
      </w:r>
    </w:p>
    <w:p w:rsidR="00EA58AB" w:rsidRPr="005C4BE8" w:rsidP="00EA58AB" w14:paraId="1E063237" w14:textId="77777777">
      <w:pPr>
        <w:ind w:left="851"/>
        <w:rPr>
          <w:rFonts w:asciiTheme="majorHAnsi" w:hAnsiTheme="majorHAnsi" w:cstheme="majorHAnsi"/>
          <w:b/>
          <w:bCs/>
          <w:u w:val="single"/>
        </w:rPr>
      </w:pPr>
      <w:r w:rsidRPr="005C4BE8">
        <w:rPr>
          <w:rFonts w:asciiTheme="majorHAnsi" w:hAnsiTheme="majorHAnsi" w:cstheme="majorHAnsi"/>
          <w:b/>
          <w:bCs/>
          <w:u w:val="single"/>
        </w:rPr>
        <w:t>Private Rulings Are Not a Scalable Substitute</w:t>
      </w:r>
    </w:p>
    <w:p w:rsidR="00EA58AB" w:rsidRPr="00EA58AB" w:rsidP="00EA58AB" w14:paraId="6EC12665" w14:textId="77777777">
      <w:pPr>
        <w:ind w:left="851"/>
        <w:rPr>
          <w:rFonts w:asciiTheme="majorHAnsi" w:hAnsiTheme="majorHAnsi" w:cstheme="majorHAnsi"/>
        </w:rPr>
      </w:pPr>
      <w:r w:rsidRPr="00EA58AB">
        <w:rPr>
          <w:rFonts w:asciiTheme="majorHAnsi" w:hAnsiTheme="majorHAnsi" w:cstheme="majorHAnsi"/>
        </w:rPr>
        <w:t>Employee Ownership Australia does not support reliance on private rulings as the primary mechanism for determining innovation status. Private rulings are costly, time-consuming, available only to the applicant, and do not bind other participants in the company’s equity structure. They are not a scalable solution for the hundreds or thousands of companies that should be able to access the IBCC.</w:t>
      </w:r>
    </w:p>
    <w:p w:rsidR="00EA58AB" w:rsidRPr="00EA58AB" w:rsidP="004C3581" w14:paraId="02EAD64C" w14:textId="17B14EFD">
      <w:pPr>
        <w:pStyle w:val="Heading1"/>
        <w:ind w:hanging="849"/>
        <w:rPr>
          <w:rFonts w:asciiTheme="majorHAnsi" w:hAnsiTheme="majorHAnsi" w:cstheme="majorHAnsi"/>
        </w:rPr>
      </w:pPr>
      <w:r w:rsidRPr="00EA58AB">
        <w:rPr>
          <w:rFonts w:asciiTheme="majorHAnsi" w:hAnsiTheme="majorHAnsi" w:cstheme="majorHAnsi"/>
        </w:rPr>
        <w:t>Safe Harbours for Founders and Early Employees</w:t>
      </w:r>
    </w:p>
    <w:p w:rsidR="00EA58AB" w:rsidRPr="00730470" w:rsidP="00EA58AB" w14:paraId="062BE0C7" w14:textId="77777777">
      <w:pPr>
        <w:ind w:left="851"/>
        <w:rPr>
          <w:rFonts w:asciiTheme="majorHAnsi" w:hAnsiTheme="majorHAnsi" w:cstheme="majorHAnsi"/>
          <w:b/>
          <w:bCs/>
        </w:rPr>
      </w:pPr>
      <w:r w:rsidRPr="00730470">
        <w:rPr>
          <w:rFonts w:asciiTheme="majorHAnsi" w:hAnsiTheme="majorHAnsi" w:cstheme="majorHAnsi"/>
          <w:b/>
          <w:bCs/>
        </w:rPr>
        <w:t>Relevant consultation questions: Questions 4 and 7</w:t>
      </w:r>
    </w:p>
    <w:p w:rsidR="00EA58AB" w:rsidRPr="00DE36C9" w:rsidP="00EA58AB" w14:paraId="5C5AEA7D" w14:textId="77777777">
      <w:pPr>
        <w:ind w:left="851"/>
        <w:rPr>
          <w:rFonts w:asciiTheme="majorHAnsi" w:hAnsiTheme="majorHAnsi" w:cstheme="majorHAnsi"/>
          <w:b/>
          <w:bCs/>
          <w:u w:val="single"/>
        </w:rPr>
      </w:pPr>
      <w:r w:rsidRPr="00DE36C9">
        <w:rPr>
          <w:rFonts w:asciiTheme="majorHAnsi" w:hAnsiTheme="majorHAnsi" w:cstheme="majorHAnsi"/>
          <w:b/>
          <w:bCs/>
          <w:u w:val="single"/>
        </w:rPr>
        <w:t>Founders and Early Employees Must Not Be Penalised Because Innovation Status Is Not Yet Established</w:t>
      </w:r>
    </w:p>
    <w:p w:rsidR="00EA58AB" w:rsidRPr="00EA58AB" w:rsidP="00EA58AB" w14:paraId="26E2B716" w14:textId="77777777">
      <w:pPr>
        <w:ind w:left="851"/>
        <w:rPr>
          <w:rFonts w:asciiTheme="majorHAnsi" w:hAnsiTheme="majorHAnsi" w:cstheme="majorHAnsi"/>
        </w:rPr>
      </w:pPr>
      <w:r w:rsidRPr="00EA58AB">
        <w:rPr>
          <w:rFonts w:asciiTheme="majorHAnsi" w:hAnsiTheme="majorHAnsi" w:cstheme="majorHAnsi"/>
        </w:rPr>
        <w:t>Founders typically acquire their shares at incorporation, before the company has commenced substantive operations. At that point, innovation criteria based on R&amp;D expenditure, revenue, intellectual property development, or commercial activity cannot be satisfied.</w:t>
      </w:r>
    </w:p>
    <w:p w:rsidR="00EA58AB" w:rsidRPr="00EA58AB" w:rsidP="00EA58AB" w14:paraId="629690F2" w14:textId="77777777">
      <w:pPr>
        <w:ind w:left="851"/>
        <w:rPr>
          <w:rFonts w:asciiTheme="majorHAnsi" w:hAnsiTheme="majorHAnsi" w:cstheme="majorHAnsi"/>
        </w:rPr>
      </w:pPr>
      <w:r w:rsidRPr="00EA58AB">
        <w:rPr>
          <w:rFonts w:asciiTheme="majorHAnsi" w:hAnsiTheme="majorHAnsi" w:cstheme="majorHAnsi"/>
        </w:rPr>
        <w:t>Similarly, early employees often join a company at a stage where its innovative character is nascent or unproven. They accept equity precisely because they are assuming risk in an enterprise whose future success is uncertain.</w:t>
      </w:r>
    </w:p>
    <w:p w:rsidR="00EA58AB" w:rsidRPr="00EA58AB" w:rsidP="00EA58AB" w14:paraId="45437878" w14:textId="77777777">
      <w:pPr>
        <w:ind w:left="851"/>
        <w:rPr>
          <w:rFonts w:asciiTheme="majorHAnsi" w:hAnsiTheme="majorHAnsi" w:cstheme="majorHAnsi"/>
        </w:rPr>
      </w:pPr>
      <w:r w:rsidRPr="00EA58AB">
        <w:rPr>
          <w:rFonts w:asciiTheme="majorHAnsi" w:hAnsiTheme="majorHAnsi" w:cstheme="majorHAnsi"/>
        </w:rPr>
        <w:t>It would be anomalous and contrary to the IBCC’s policy objectives for the individuals most responsible for creating innovative businesses — and those who assume the greatest risk at the earliest stage — to be excluded from the concession because the company could not satisfy innovation criteria at the time equity was first issued.</w:t>
      </w:r>
    </w:p>
    <w:p w:rsidR="00EA58AB" w:rsidRPr="00DE36C9" w:rsidP="00EA58AB" w14:paraId="4871644B" w14:textId="77777777">
      <w:pPr>
        <w:ind w:left="851"/>
        <w:rPr>
          <w:rFonts w:asciiTheme="majorHAnsi" w:hAnsiTheme="majorHAnsi" w:cstheme="majorHAnsi"/>
          <w:b/>
          <w:bCs/>
          <w:u w:val="single"/>
        </w:rPr>
      </w:pPr>
      <w:r w:rsidRPr="00DE36C9">
        <w:rPr>
          <w:rFonts w:asciiTheme="majorHAnsi" w:hAnsiTheme="majorHAnsi" w:cstheme="majorHAnsi"/>
          <w:b/>
          <w:bCs/>
          <w:u w:val="single"/>
        </w:rPr>
        <w:t>Employee Ownership Australia Recommends Specific Safe Harbour Provisions</w:t>
      </w:r>
    </w:p>
    <w:p w:rsidR="00EA58AB" w:rsidRPr="00EA58AB" w:rsidP="00EA58AB" w14:paraId="41215CC6" w14:textId="77777777">
      <w:pPr>
        <w:ind w:left="851"/>
        <w:rPr>
          <w:rFonts w:asciiTheme="majorHAnsi" w:hAnsiTheme="majorHAnsi" w:cstheme="majorHAnsi"/>
        </w:rPr>
      </w:pPr>
      <w:r w:rsidRPr="00EA58AB">
        <w:rPr>
          <w:rFonts w:asciiTheme="majorHAnsi" w:hAnsiTheme="majorHAnsi" w:cstheme="majorHAnsi"/>
        </w:rPr>
        <w:t>Employee Ownership Australia recommends the following safe harbour provisions:</w:t>
      </w:r>
    </w:p>
    <w:p w:rsidR="00EA58AB" w:rsidRPr="005C4BE8" w:rsidP="00864D34" w14:paraId="37F0F55E" w14:textId="32373309">
      <w:pPr>
        <w:pStyle w:val="ListBulletIndent"/>
        <w:numPr>
          <w:ilvl w:val="3"/>
          <w:numId w:val="20"/>
        </w:numPr>
        <w:ind w:left="1211"/>
      </w:pPr>
      <w:r w:rsidRPr="005C4BE8">
        <w:t>shares acquired at or near incorporation should qualify for the IBCC if the company satisfies innovation criteria within a defined period (for example, three years from incorporation);</w:t>
      </w:r>
    </w:p>
    <w:p w:rsidR="00EA58AB" w:rsidRPr="005C4BE8" w:rsidP="00864D34" w14:paraId="3201DE08" w14:textId="43B8ADA4">
      <w:pPr>
        <w:pStyle w:val="ListBulletIndent"/>
        <w:numPr>
          <w:ilvl w:val="3"/>
          <w:numId w:val="20"/>
        </w:numPr>
        <w:ind w:left="1211"/>
      </w:pPr>
      <w:r w:rsidRPr="005C4BE8">
        <w:t>shares should be deemed to qualify once the company subsequently obtains certification under the recommended certification pathway;</w:t>
      </w:r>
    </w:p>
    <w:p w:rsidR="00EA58AB" w:rsidRPr="005C4BE8" w:rsidP="00864D34" w14:paraId="0CAFAC4E" w14:textId="1BE49524">
      <w:pPr>
        <w:pStyle w:val="ListBulletIndent"/>
        <w:numPr>
          <w:ilvl w:val="3"/>
          <w:numId w:val="20"/>
        </w:numPr>
        <w:ind w:left="1211"/>
      </w:pPr>
      <w:r w:rsidRPr="005C4BE8">
        <w:t>the</w:t>
      </w:r>
      <w:r w:rsidRPr="005C4BE8">
        <w:t xml:space="preserve"> safe </w:t>
      </w:r>
      <w:r w:rsidRPr="005C4BE8">
        <w:t>harbour</w:t>
      </w:r>
      <w:r w:rsidRPr="005C4BE8">
        <w:t xml:space="preserve"> should apply equally to founders and early employees who receive equity before the company can demonstrate innovation status; and</w:t>
      </w:r>
    </w:p>
    <w:p w:rsidR="00EA58AB" w:rsidRPr="005C4BE8" w:rsidP="00864D34" w14:paraId="4A71E62E" w14:textId="73C48DFF">
      <w:pPr>
        <w:pStyle w:val="ListBulletIndent"/>
        <w:numPr>
          <w:ilvl w:val="3"/>
          <w:numId w:val="20"/>
        </w:numPr>
        <w:ind w:left="1211"/>
      </w:pPr>
      <w:r w:rsidRPr="005C4BE8">
        <w:t>the</w:t>
      </w:r>
      <w:r w:rsidRPr="005C4BE8">
        <w:t xml:space="preserve"> safe </w:t>
      </w:r>
      <w:r w:rsidRPr="005C4BE8">
        <w:t>harbour</w:t>
      </w:r>
      <w:r w:rsidRPr="005C4BE8">
        <w:t xml:space="preserve"> period should be sufficient to allow for the natural development cycle of innovative businesses, </w:t>
      </w:r>
      <w:r w:rsidRPr="005C4BE8">
        <w:t>recognising</w:t>
      </w:r>
      <w:r w:rsidRPr="005C4BE8">
        <w:t xml:space="preserve"> that innovation is often demonstrated over time rather than at a single point.</w:t>
      </w:r>
    </w:p>
    <w:p w:rsidR="00EA58AB" w:rsidRPr="00EA58AB" w:rsidP="004C3581" w14:paraId="0E98553F" w14:textId="49E9EBDB">
      <w:pPr>
        <w:pStyle w:val="Heading1"/>
        <w:ind w:hanging="849"/>
        <w:rPr>
          <w:rFonts w:asciiTheme="majorHAnsi" w:hAnsiTheme="majorHAnsi" w:cstheme="majorHAnsi"/>
        </w:rPr>
      </w:pPr>
      <w:r w:rsidRPr="00EA58AB">
        <w:rPr>
          <w:rFonts w:asciiTheme="majorHAnsi" w:hAnsiTheme="majorHAnsi" w:cstheme="majorHAnsi"/>
        </w:rPr>
        <w:t>Transitional Treatment of Existing Ventures and Existing ESS Interests</w:t>
      </w:r>
    </w:p>
    <w:p w:rsidR="00EA58AB" w:rsidRPr="00730470" w:rsidP="00EA58AB" w14:paraId="050AFFE6" w14:textId="77777777">
      <w:pPr>
        <w:ind w:left="851"/>
        <w:rPr>
          <w:rFonts w:asciiTheme="majorHAnsi" w:hAnsiTheme="majorHAnsi" w:cstheme="majorHAnsi"/>
          <w:b/>
          <w:bCs/>
        </w:rPr>
      </w:pPr>
      <w:r w:rsidRPr="00730470">
        <w:rPr>
          <w:rFonts w:asciiTheme="majorHAnsi" w:hAnsiTheme="majorHAnsi" w:cstheme="majorHAnsi"/>
          <w:b/>
          <w:bCs/>
        </w:rPr>
        <w:t>Relevant consultation question: Question 7</w:t>
      </w:r>
    </w:p>
    <w:p w:rsidR="00EA58AB" w:rsidRPr="00DE36C9" w:rsidP="00EA58AB" w14:paraId="1207BBE7" w14:textId="77777777">
      <w:pPr>
        <w:ind w:left="851"/>
        <w:rPr>
          <w:rFonts w:asciiTheme="majorHAnsi" w:hAnsiTheme="majorHAnsi" w:cstheme="majorHAnsi"/>
          <w:b/>
          <w:bCs/>
          <w:u w:val="single"/>
        </w:rPr>
      </w:pPr>
      <w:r w:rsidRPr="00DE36C9">
        <w:rPr>
          <w:rFonts w:asciiTheme="majorHAnsi" w:hAnsiTheme="majorHAnsi" w:cstheme="majorHAnsi"/>
          <w:b/>
          <w:bCs/>
          <w:u w:val="single"/>
        </w:rPr>
        <w:t>Retrospective Innovation Testing Is Unfair to Employees Who Had No Control Over Documentation or Certification</w:t>
      </w:r>
    </w:p>
    <w:p w:rsidR="00EA58AB" w:rsidRPr="00EA58AB" w:rsidP="00EA58AB" w14:paraId="4DC039E0" w14:textId="77777777">
      <w:pPr>
        <w:ind w:left="851"/>
        <w:rPr>
          <w:rFonts w:asciiTheme="majorHAnsi" w:hAnsiTheme="majorHAnsi" w:cstheme="majorHAnsi"/>
        </w:rPr>
      </w:pPr>
      <w:r w:rsidRPr="00EA58AB">
        <w:rPr>
          <w:rFonts w:asciiTheme="majorHAnsi" w:hAnsiTheme="majorHAnsi" w:cstheme="majorHAnsi"/>
        </w:rPr>
        <w:t>The Consultation Paper proposes transitional arrangements for shares issued before 1 July 2027, requiring satisfaction of criteria tested against FY2025–26. Employee Ownership Australia is concerned that this approach will impose retrospective innovation testing on existing ventures and employees.</w:t>
      </w:r>
    </w:p>
    <w:p w:rsidR="00EA58AB" w:rsidRPr="00EA58AB" w:rsidP="00EA58AB" w14:paraId="62791F9D" w14:textId="77777777">
      <w:pPr>
        <w:ind w:left="851"/>
        <w:rPr>
          <w:rFonts w:asciiTheme="majorHAnsi" w:hAnsiTheme="majorHAnsi" w:cstheme="majorHAnsi"/>
        </w:rPr>
      </w:pPr>
      <w:r w:rsidRPr="00EA58AB">
        <w:rPr>
          <w:rFonts w:asciiTheme="majorHAnsi" w:hAnsiTheme="majorHAnsi" w:cstheme="majorHAnsi"/>
        </w:rPr>
        <w:t xml:space="preserve">Many employees have accepted equity in innovative companies under existing arrangements without any expectation that future tax outcomes would depend on demonstrating satisfaction of innovation criteria that did not exist when those decisions were made. They had no control over whether their </w:t>
      </w:r>
      <w:r w:rsidRPr="00EA58AB">
        <w:rPr>
          <w:rFonts w:asciiTheme="majorHAnsi" w:hAnsiTheme="majorHAnsi" w:cstheme="majorHAnsi"/>
        </w:rPr>
        <w:t>employer maintained</w:t>
      </w:r>
      <w:r w:rsidRPr="00EA58AB">
        <w:rPr>
          <w:rFonts w:asciiTheme="majorHAnsi" w:hAnsiTheme="majorHAnsi" w:cstheme="majorHAnsi"/>
        </w:rPr>
        <w:t xml:space="preserve"> documentation, obtained certifications, or structured its affairs to satisfy criteria that had not yet been proposed.</w:t>
      </w:r>
    </w:p>
    <w:p w:rsidR="00EA58AB" w:rsidRPr="00EA58AB" w:rsidP="00EA58AB" w14:paraId="5BBEB0B0" w14:textId="77777777">
      <w:pPr>
        <w:ind w:left="851"/>
        <w:rPr>
          <w:rFonts w:asciiTheme="majorHAnsi" w:hAnsiTheme="majorHAnsi" w:cstheme="majorHAnsi"/>
        </w:rPr>
      </w:pPr>
      <w:r w:rsidRPr="00EA58AB">
        <w:rPr>
          <w:rFonts w:asciiTheme="majorHAnsi" w:hAnsiTheme="majorHAnsi" w:cstheme="majorHAnsi"/>
        </w:rPr>
        <w:t>Retrospective testing is fundamentally unfair to employees, who are passive recipients of equity under plans designed and administered by their employers.</w:t>
      </w:r>
    </w:p>
    <w:p w:rsidR="00EA58AB" w:rsidRPr="00DE36C9" w:rsidP="00EA58AB" w14:paraId="3D8D23EF" w14:textId="77777777">
      <w:pPr>
        <w:ind w:left="851"/>
        <w:rPr>
          <w:b/>
          <w:bCs/>
          <w:u w:val="single"/>
        </w:rPr>
      </w:pPr>
      <w:r w:rsidRPr="00DE36C9">
        <w:rPr>
          <w:b/>
          <w:bCs/>
          <w:u w:val="single"/>
        </w:rPr>
        <w:t>Employee Ownership Australia Recommends the Following Transitional Framework</w:t>
      </w:r>
    </w:p>
    <w:p w:rsidR="00EA58AB" w:rsidRPr="005C4BE8" w:rsidP="00864D34" w14:paraId="6AA8530D" w14:textId="501E752B">
      <w:pPr>
        <w:pStyle w:val="ListBulletIndent"/>
        <w:numPr>
          <w:ilvl w:val="3"/>
          <w:numId w:val="20"/>
        </w:numPr>
        <w:ind w:left="1211"/>
      </w:pPr>
      <w:r w:rsidRPr="005C4BE8">
        <w:t xml:space="preserve">Deemed qualification for shares and options issued under existing start-up ESS arrangements (section 83A-33 of the ITAA </w:t>
      </w:r>
      <w:r w:rsidRPr="005C4BE8">
        <w:t>1997) —</w:t>
      </w:r>
      <w:r w:rsidRPr="005C4BE8">
        <w:t xml:space="preserve"> these interests were already subject to a qualifying company test and should be deemed to satisfy IBCC requirements.</w:t>
      </w:r>
    </w:p>
    <w:p w:rsidR="00EA58AB" w:rsidRPr="005C4BE8" w:rsidP="00864D34" w14:paraId="568701A6" w14:textId="7F39E944">
      <w:pPr>
        <w:pStyle w:val="ListBulletIndent"/>
        <w:numPr>
          <w:ilvl w:val="3"/>
          <w:numId w:val="20"/>
        </w:numPr>
        <w:ind w:left="1211"/>
      </w:pPr>
      <w:r w:rsidRPr="005C4BE8">
        <w:t xml:space="preserve">Deemed qualification where the company was previously recognised as an </w:t>
      </w:r>
      <w:r w:rsidRPr="005C4BE8">
        <w:t>Early Stage</w:t>
      </w:r>
      <w:r w:rsidRPr="005C4BE8">
        <w:t xml:space="preserve"> Innovation Company (</w:t>
      </w:r>
      <w:r w:rsidRPr="00602B07">
        <w:rPr>
          <w:b/>
          <w:bCs/>
        </w:rPr>
        <w:t>ESIC</w:t>
      </w:r>
      <w:r w:rsidRPr="005C4BE8">
        <w:t>) —</w:t>
      </w:r>
      <w:r w:rsidRPr="005C4BE8">
        <w:t xml:space="preserve"> prior ESIC status should be sufficient evidence of innovation.</w:t>
      </w:r>
    </w:p>
    <w:p w:rsidR="00EA58AB" w:rsidRPr="005C4BE8" w:rsidP="00864D34" w14:paraId="145714AD" w14:textId="601F1844">
      <w:pPr>
        <w:pStyle w:val="ListBulletIndent"/>
        <w:numPr>
          <w:ilvl w:val="3"/>
          <w:numId w:val="20"/>
        </w:numPr>
        <w:ind w:left="1211"/>
      </w:pPr>
      <w:r w:rsidRPr="005C4BE8">
        <w:t>Objective transitional criteria based on verifiable facts (R&amp;D expenditure, registered intellectual property, venture capital investment, government grants, patent applications) rather than subjective principles-based assessment.</w:t>
      </w:r>
    </w:p>
    <w:p w:rsidR="00EA58AB" w:rsidRPr="00EA58AB" w:rsidP="00864D34" w14:paraId="6BC0DC61" w14:textId="34F58AF6">
      <w:pPr>
        <w:pStyle w:val="ListBulletIndent"/>
        <w:numPr>
          <w:ilvl w:val="3"/>
          <w:numId w:val="20"/>
        </w:numPr>
        <w:ind w:left="1211"/>
        <w:rPr>
          <w:rFonts w:asciiTheme="majorHAnsi" w:hAnsiTheme="majorHAnsi" w:cstheme="majorHAnsi"/>
        </w:rPr>
      </w:pPr>
      <w:r w:rsidRPr="005C4BE8">
        <w:t>Certification based on current activities rather than historical reconstruction — companies should be able to demonstrate current innovation status without proving</w:t>
      </w:r>
      <w:r w:rsidRPr="00EA58AB">
        <w:rPr>
          <w:rFonts w:asciiTheme="majorHAnsi" w:hAnsiTheme="majorHAnsi" w:cstheme="majorHAnsi"/>
        </w:rPr>
        <w:t xml:space="preserve"> retrospective compliance.</w:t>
      </w:r>
    </w:p>
    <w:p w:rsidR="00EA58AB" w:rsidRPr="005C4BE8" w:rsidP="00864D34" w14:paraId="60D36388" w14:textId="2B5C0192">
      <w:pPr>
        <w:pStyle w:val="ListBulletIndent"/>
        <w:numPr>
          <w:ilvl w:val="3"/>
          <w:numId w:val="20"/>
        </w:numPr>
        <w:ind w:left="1211"/>
      </w:pPr>
      <w:r w:rsidRPr="005C4BE8">
        <w:t xml:space="preserve">A safe </w:t>
      </w:r>
      <w:r w:rsidRPr="005C4BE8">
        <w:t>harbour</w:t>
      </w:r>
      <w:r w:rsidRPr="005C4BE8">
        <w:t xml:space="preserve"> period during which existing ventures can obtain certification without losing access to the concession for interests already issued.</w:t>
      </w:r>
    </w:p>
    <w:p w:rsidR="00EA58AB" w:rsidRPr="00EA58AB" w:rsidP="00864D34" w14:paraId="289E40A2" w14:textId="52F50058">
      <w:pPr>
        <w:pStyle w:val="ListBulletIndent"/>
        <w:numPr>
          <w:ilvl w:val="3"/>
          <w:numId w:val="20"/>
        </w:numPr>
        <w:ind w:left="1211"/>
        <w:rPr>
          <w:rFonts w:asciiTheme="majorHAnsi" w:hAnsiTheme="majorHAnsi" w:cstheme="majorHAnsi"/>
        </w:rPr>
      </w:pPr>
      <w:r w:rsidRPr="005C4BE8">
        <w:t xml:space="preserve">Grandfathering of existing employee interests without requiring proof of historical innovation status — the preferred approach is </w:t>
      </w:r>
      <w:r w:rsidRPr="005C4BE8">
        <w:t>express</w:t>
      </w:r>
      <w:r w:rsidRPr="005C4BE8">
        <w:t xml:space="preserve"> preservation of existing ESS interests regardless of whether the company can demonstrate innovation status at a</w:t>
      </w:r>
      <w:r w:rsidRPr="00EA58AB">
        <w:rPr>
          <w:rFonts w:asciiTheme="majorHAnsi" w:hAnsiTheme="majorHAnsi" w:cstheme="majorHAnsi"/>
        </w:rPr>
        <w:t xml:space="preserve"> point in the past.</w:t>
      </w:r>
    </w:p>
    <w:p w:rsidR="00EA58AB" w:rsidRPr="00EA58AB" w:rsidP="00EA58AB" w14:paraId="5A2253BA" w14:textId="77777777">
      <w:pPr>
        <w:ind w:left="851"/>
        <w:rPr>
          <w:rFonts w:asciiTheme="majorHAnsi" w:hAnsiTheme="majorHAnsi" w:cstheme="majorHAnsi"/>
        </w:rPr>
      </w:pPr>
      <w:r w:rsidRPr="00EA58AB">
        <w:rPr>
          <w:rFonts w:asciiTheme="majorHAnsi" w:hAnsiTheme="majorHAnsi" w:cstheme="majorHAnsi"/>
        </w:rPr>
        <w:t>Employee Ownership Australia’s strong preference is that all existing ESS interests issued before 1 July 2027 under the start-up concession be expressly preserved and deemed to qualify for the IBCC.</w:t>
      </w:r>
    </w:p>
    <w:p w:rsidR="00EA58AB" w:rsidRPr="00EA58AB" w:rsidP="00F549A7" w14:paraId="71F2EE58" w14:textId="70B29CAF">
      <w:pPr>
        <w:pStyle w:val="Heading1"/>
        <w:ind w:hanging="849"/>
        <w:rPr>
          <w:rFonts w:asciiTheme="majorHAnsi" w:hAnsiTheme="majorHAnsi" w:cstheme="majorHAnsi"/>
        </w:rPr>
      </w:pPr>
      <w:r w:rsidRPr="00EA58AB">
        <w:rPr>
          <w:rFonts w:asciiTheme="majorHAnsi" w:hAnsiTheme="majorHAnsi" w:cstheme="majorHAnsi"/>
        </w:rPr>
        <w:t>Interaction with the Multi-Event Architecture of Division 83A and Subdivision 130-D</w:t>
      </w:r>
    </w:p>
    <w:p w:rsidR="00EA58AB" w:rsidRPr="00A12507" w:rsidP="00F549A7" w14:paraId="0FAE95C4" w14:textId="77777777">
      <w:pPr>
        <w:keepNext/>
        <w:ind w:left="851"/>
        <w:rPr>
          <w:rFonts w:asciiTheme="majorHAnsi" w:hAnsiTheme="majorHAnsi" w:cstheme="majorHAnsi"/>
          <w:b/>
          <w:bCs/>
        </w:rPr>
      </w:pPr>
      <w:r w:rsidRPr="00A12507">
        <w:rPr>
          <w:rFonts w:asciiTheme="majorHAnsi" w:hAnsiTheme="majorHAnsi" w:cstheme="majorHAnsi"/>
          <w:b/>
          <w:bCs/>
        </w:rPr>
        <w:t>Relevant consultation questions: Questions 2 and 7</w:t>
      </w:r>
    </w:p>
    <w:p w:rsidR="00EA58AB" w:rsidRPr="00A12507" w:rsidP="00F549A7" w14:paraId="37B433FB" w14:textId="77777777">
      <w:pPr>
        <w:keepNext/>
        <w:ind w:left="851"/>
        <w:rPr>
          <w:rFonts w:asciiTheme="majorHAnsi" w:hAnsiTheme="majorHAnsi" w:cstheme="majorHAnsi"/>
          <w:b/>
          <w:bCs/>
          <w:u w:val="single"/>
        </w:rPr>
      </w:pPr>
      <w:r w:rsidRPr="00A12507">
        <w:rPr>
          <w:rFonts w:asciiTheme="majorHAnsi" w:hAnsiTheme="majorHAnsi" w:cstheme="majorHAnsi"/>
          <w:b/>
          <w:bCs/>
          <w:u w:val="single"/>
        </w:rPr>
        <w:t>The Proposed Framework Wrongly Assumes a Single Identifiable Asset and Cost Base at 1 July 2027</w:t>
      </w:r>
    </w:p>
    <w:p w:rsidR="00EA58AB" w:rsidRPr="00EA58AB" w:rsidP="00F549A7" w14:paraId="173AEB5E" w14:textId="7E49BEE3">
      <w:pPr>
        <w:keepNext/>
        <w:ind w:left="851"/>
        <w:rPr>
          <w:rFonts w:asciiTheme="majorHAnsi" w:hAnsiTheme="majorHAnsi" w:cstheme="majorHAnsi"/>
        </w:rPr>
      </w:pPr>
      <w:r w:rsidRPr="00EA58AB">
        <w:rPr>
          <w:rFonts w:asciiTheme="majorHAnsi" w:hAnsiTheme="majorHAnsi" w:cstheme="majorHAnsi"/>
        </w:rPr>
        <w:t>Division 83A and Subdivision 130-D of the ITAA 1997 determine acquisition time, taxing point and cost base by reference to a series of different statutory events occurring over the life of an ESS interest. These events include grant of the interest</w:t>
      </w:r>
      <w:r w:rsidR="00FD0BF7">
        <w:rPr>
          <w:rFonts w:asciiTheme="majorHAnsi" w:hAnsiTheme="majorHAnsi" w:cstheme="majorHAnsi"/>
        </w:rPr>
        <w:t>,</w:t>
      </w:r>
      <w:r w:rsidRPr="00EA58AB">
        <w:rPr>
          <w:rFonts w:asciiTheme="majorHAnsi" w:hAnsiTheme="majorHAnsi" w:cstheme="majorHAnsi"/>
        </w:rPr>
        <w:t xml:space="preserve"> vesting</w:t>
      </w:r>
      <w:r w:rsidR="00FD0BF7">
        <w:rPr>
          <w:rFonts w:asciiTheme="majorHAnsi" w:hAnsiTheme="majorHAnsi" w:cstheme="majorHAnsi"/>
        </w:rPr>
        <w:t>,</w:t>
      </w:r>
      <w:r w:rsidRPr="00EA58AB">
        <w:rPr>
          <w:rFonts w:asciiTheme="majorHAnsi" w:hAnsiTheme="majorHAnsi" w:cstheme="majorHAnsi"/>
        </w:rPr>
        <w:t xml:space="preserve"> exercise of an option or right</w:t>
      </w:r>
      <w:r w:rsidR="00FD0BF7">
        <w:rPr>
          <w:rFonts w:asciiTheme="majorHAnsi" w:hAnsiTheme="majorHAnsi" w:cstheme="majorHAnsi"/>
        </w:rPr>
        <w:t>,</w:t>
      </w:r>
      <w:r w:rsidRPr="00EA58AB">
        <w:rPr>
          <w:rFonts w:asciiTheme="majorHAnsi" w:hAnsiTheme="majorHAnsi" w:cstheme="majorHAnsi"/>
        </w:rPr>
        <w:t xml:space="preserve"> the deferred taxing point</w:t>
      </w:r>
      <w:r w:rsidR="00FD0BF7">
        <w:rPr>
          <w:rFonts w:asciiTheme="majorHAnsi" w:hAnsiTheme="majorHAnsi" w:cstheme="majorHAnsi"/>
        </w:rPr>
        <w:t>,</w:t>
      </w:r>
      <w:r w:rsidRPr="00EA58AB">
        <w:rPr>
          <w:rFonts w:asciiTheme="majorHAnsi" w:hAnsiTheme="majorHAnsi" w:cstheme="majorHAnsi"/>
        </w:rPr>
        <w:t xml:space="preserve"> the ESS assessable amount determination</w:t>
      </w:r>
      <w:r w:rsidR="00FD0BF7">
        <w:rPr>
          <w:rFonts w:asciiTheme="majorHAnsi" w:hAnsiTheme="majorHAnsi" w:cstheme="majorHAnsi"/>
        </w:rPr>
        <w:t>,</w:t>
      </w:r>
      <w:r w:rsidRPr="00EA58AB">
        <w:rPr>
          <w:rFonts w:asciiTheme="majorHAnsi" w:hAnsiTheme="majorHAnsi" w:cstheme="majorHAnsi"/>
        </w:rPr>
        <w:t xml:space="preserve"> cost base determination under section 130-80 and ultimate disposal.</w:t>
      </w:r>
    </w:p>
    <w:p w:rsidR="00EA58AB" w:rsidRPr="00EA58AB" w:rsidP="00EA58AB" w14:paraId="4A643E0E" w14:textId="77777777">
      <w:pPr>
        <w:ind w:left="851"/>
        <w:rPr>
          <w:rFonts w:asciiTheme="majorHAnsi" w:hAnsiTheme="majorHAnsi" w:cstheme="majorHAnsi"/>
        </w:rPr>
      </w:pPr>
      <w:r w:rsidRPr="00EA58AB">
        <w:rPr>
          <w:rFonts w:asciiTheme="majorHAnsi" w:hAnsiTheme="majorHAnsi" w:cstheme="majorHAnsi"/>
        </w:rPr>
        <w:t>The IBCC transition mechanism, and the broader CGT reform’s deemed disposal at 1 July 2027, wrongly assume that a single identifiable asset exists at that date with a known cost base. For many ESS interests, this assumption is incorrect:</w:t>
      </w:r>
    </w:p>
    <w:p w:rsidR="00EA58AB" w:rsidRPr="005C4BE8" w:rsidP="00864D34" w14:paraId="02AD6ED0" w14:textId="064C0C02">
      <w:pPr>
        <w:pStyle w:val="ListBulletIndent"/>
        <w:numPr>
          <w:ilvl w:val="3"/>
          <w:numId w:val="20"/>
        </w:numPr>
        <w:ind w:left="1211"/>
      </w:pPr>
      <w:r w:rsidRPr="005C4BE8">
        <w:t xml:space="preserve">For tax-deferred shares where the deferred taxing point has not yet occurred, the cost base under the ESS rules may not be determinable </w:t>
      </w:r>
      <w:r w:rsidRPr="005C4BE8">
        <w:t>at</w:t>
      </w:r>
      <w:r w:rsidRPr="005C4BE8">
        <w:t xml:space="preserve"> 1 July 2027.</w:t>
      </w:r>
    </w:p>
    <w:p w:rsidR="00EA58AB" w:rsidRPr="005C4BE8" w:rsidP="00864D34" w14:paraId="5280DF3A" w14:textId="69789060">
      <w:pPr>
        <w:pStyle w:val="ListBulletIndent"/>
        <w:numPr>
          <w:ilvl w:val="3"/>
          <w:numId w:val="20"/>
        </w:numPr>
        <w:ind w:left="1211"/>
      </w:pPr>
      <w:r w:rsidRPr="005C4BE8">
        <w:t>For options and rights, the asset acquired (the option) differs from the asset ultimately disposed of (the share). Grandfathering must attach to preserve pre-1 July 2027 economic growth even where the legal form of the asset later changes.</w:t>
      </w:r>
    </w:p>
    <w:p w:rsidR="00EA58AB" w:rsidRPr="005C4BE8" w:rsidP="00864D34" w14:paraId="3500A0B8" w14:textId="461B3E88">
      <w:pPr>
        <w:pStyle w:val="ListBulletIndent"/>
        <w:numPr>
          <w:ilvl w:val="3"/>
          <w:numId w:val="20"/>
        </w:numPr>
        <w:ind w:left="1211"/>
      </w:pPr>
      <w:r w:rsidRPr="005C4BE8">
        <w:t>Out-of-the-money options that gain value only after 1 July 2027 would receive no benefit from grandfathering if the mechanism looks only at the asset’s value at that date.</w:t>
      </w:r>
    </w:p>
    <w:p w:rsidR="00EA58AB" w:rsidRPr="00BA460C" w:rsidP="00EA58AB" w14:paraId="74228BDB" w14:textId="77777777">
      <w:pPr>
        <w:ind w:left="851"/>
        <w:rPr>
          <w:rFonts w:asciiTheme="majorHAnsi" w:hAnsiTheme="majorHAnsi" w:cstheme="majorHAnsi"/>
          <w:b/>
          <w:bCs/>
          <w:u w:val="single"/>
        </w:rPr>
      </w:pPr>
      <w:r w:rsidRPr="00BA460C">
        <w:rPr>
          <w:rFonts w:asciiTheme="majorHAnsi" w:hAnsiTheme="majorHAnsi" w:cstheme="majorHAnsi"/>
          <w:b/>
          <w:bCs/>
          <w:u w:val="single"/>
        </w:rPr>
        <w:t>Eligibility Must Be Tested at Grant, Not Exercise</w:t>
      </w:r>
    </w:p>
    <w:p w:rsidR="00EA58AB" w:rsidRPr="00EA58AB" w:rsidP="00EA58AB" w14:paraId="6C5C48AB" w14:textId="77777777">
      <w:pPr>
        <w:ind w:left="851"/>
        <w:rPr>
          <w:rFonts w:asciiTheme="majorHAnsi" w:hAnsiTheme="majorHAnsi" w:cstheme="majorHAnsi"/>
        </w:rPr>
      </w:pPr>
      <w:r w:rsidRPr="00EA58AB">
        <w:rPr>
          <w:rFonts w:asciiTheme="majorHAnsi" w:hAnsiTheme="majorHAnsi" w:cstheme="majorHAnsi"/>
        </w:rPr>
        <w:t>For options and rights granted under employee share schemes, the relevant testing time for IBCC eligibility should generally be at grant — when the employee makes the economic decision to accept equity in lieu of cash remuneration and assumes the associated risks.</w:t>
      </w:r>
    </w:p>
    <w:p w:rsidR="00EA58AB" w:rsidRPr="00EA58AB" w:rsidP="00EA58AB" w14:paraId="2B5CA88E" w14:textId="77777777">
      <w:pPr>
        <w:ind w:left="851"/>
        <w:rPr>
          <w:rFonts w:asciiTheme="majorHAnsi" w:hAnsiTheme="majorHAnsi" w:cstheme="majorHAnsi"/>
        </w:rPr>
      </w:pPr>
      <w:r w:rsidRPr="00EA58AB">
        <w:rPr>
          <w:rFonts w:asciiTheme="majorHAnsi" w:hAnsiTheme="majorHAnsi" w:cstheme="majorHAnsi"/>
        </w:rPr>
        <w:t>Testing at exercise would produce the anomalous result that an employee could lose concessional treatment simply because the company succeeded in the period between grant and exercise. An employee who accepts options in a genuinely innovative start-up, bears risk during the development period, and exercises only once the company has grown beyond the eligibility thresholds would be penalised for the very outcome the concession is designed to encourage.</w:t>
      </w:r>
    </w:p>
    <w:p w:rsidR="00EA58AB" w:rsidRPr="00EA58AB" w:rsidP="00EA58AB" w14:paraId="1CBB20BC" w14:textId="77777777">
      <w:pPr>
        <w:ind w:left="851"/>
        <w:rPr>
          <w:rFonts w:asciiTheme="majorHAnsi" w:hAnsiTheme="majorHAnsi" w:cstheme="majorHAnsi"/>
        </w:rPr>
      </w:pPr>
      <w:r w:rsidRPr="00EA58AB">
        <w:rPr>
          <w:rFonts w:asciiTheme="majorHAnsi" w:hAnsiTheme="majorHAnsi" w:cstheme="majorHAnsi"/>
        </w:rPr>
        <w:t>This would be inconsistent with the IBCC’s policy objectives and would discourage employees from accepting equity in early-stage companies.</w:t>
      </w:r>
    </w:p>
    <w:p w:rsidR="00EA58AB" w:rsidRPr="00BA460C" w:rsidP="00EA58AB" w14:paraId="51E39B45" w14:textId="77777777">
      <w:pPr>
        <w:ind w:left="851"/>
        <w:rPr>
          <w:rFonts w:asciiTheme="majorHAnsi" w:hAnsiTheme="majorHAnsi" w:cstheme="majorHAnsi"/>
          <w:b/>
          <w:bCs/>
          <w:u w:val="single"/>
        </w:rPr>
      </w:pPr>
      <w:r w:rsidRPr="00BA460C">
        <w:rPr>
          <w:rFonts w:asciiTheme="majorHAnsi" w:hAnsiTheme="majorHAnsi" w:cstheme="majorHAnsi"/>
          <w:b/>
          <w:bCs/>
          <w:u w:val="single"/>
        </w:rPr>
        <w:t>Existing ESS Interests Must Be Protected</w:t>
      </w:r>
    </w:p>
    <w:p w:rsidR="00EA58AB" w:rsidRPr="00EA58AB" w:rsidP="00EA58AB" w14:paraId="23C89124" w14:textId="77777777">
      <w:pPr>
        <w:ind w:left="851"/>
        <w:rPr>
          <w:rFonts w:asciiTheme="majorHAnsi" w:hAnsiTheme="majorHAnsi" w:cstheme="majorHAnsi"/>
        </w:rPr>
      </w:pPr>
      <w:r w:rsidRPr="00EA58AB">
        <w:rPr>
          <w:rFonts w:asciiTheme="majorHAnsi" w:hAnsiTheme="majorHAnsi" w:cstheme="majorHAnsi"/>
        </w:rPr>
        <w:t>Employee Ownership Australia recommends that:</w:t>
      </w:r>
    </w:p>
    <w:p w:rsidR="00EA58AB" w:rsidRPr="005C4BE8" w:rsidP="00864D34" w14:paraId="6074DB35" w14:textId="51C360A6">
      <w:pPr>
        <w:pStyle w:val="ListBulletIndent"/>
        <w:numPr>
          <w:ilvl w:val="3"/>
          <w:numId w:val="20"/>
        </w:numPr>
        <w:ind w:left="1211"/>
      </w:pPr>
      <w:r w:rsidRPr="005C4BE8">
        <w:t>existing ESS interests (including options, rights and shares held under Division 83A) be grandfathered, carved out or deemed to satisfy IBCC requirements;</w:t>
      </w:r>
    </w:p>
    <w:p w:rsidR="00EA58AB" w:rsidRPr="005C4BE8" w:rsidP="00864D34" w14:paraId="7E0A64E1" w14:textId="23781A4B">
      <w:pPr>
        <w:pStyle w:val="ListBulletIndent"/>
        <w:numPr>
          <w:ilvl w:val="3"/>
          <w:numId w:val="20"/>
        </w:numPr>
        <w:ind w:left="1211"/>
      </w:pPr>
      <w:r w:rsidRPr="005C4BE8">
        <w:t>at minimum, existing start-up concession options and shares issued before 1 July 2027 be expressly protected regardless of the company’s subsequent growth;</w:t>
      </w:r>
    </w:p>
    <w:p w:rsidR="00EA58AB" w:rsidRPr="005C4BE8" w:rsidP="00864D34" w14:paraId="6FCD09C4" w14:textId="6EF596F7">
      <w:pPr>
        <w:pStyle w:val="ListBulletIndent"/>
        <w:numPr>
          <w:ilvl w:val="3"/>
          <w:numId w:val="20"/>
        </w:numPr>
        <w:ind w:left="1211"/>
      </w:pPr>
      <w:r w:rsidRPr="005C4BE8">
        <w:t>the</w:t>
      </w:r>
      <w:r w:rsidRPr="005C4BE8">
        <w:t xml:space="preserve"> legislation </w:t>
      </w:r>
      <w:r w:rsidRPr="005C4BE8">
        <w:t>provide</w:t>
      </w:r>
      <w:r w:rsidRPr="005C4BE8">
        <w:t xml:space="preserve"> clear rules for determining IBCC eligibility where the ESS interest undergoes a change in legal form (option to share) after 1 July 2027; and</w:t>
      </w:r>
    </w:p>
    <w:p w:rsidR="00EA58AB" w:rsidRPr="005C4BE8" w:rsidP="00864D34" w14:paraId="27FC9220" w14:textId="4086E932">
      <w:pPr>
        <w:pStyle w:val="ListBulletIndent"/>
        <w:numPr>
          <w:ilvl w:val="3"/>
          <w:numId w:val="20"/>
        </w:numPr>
        <w:ind w:left="1211"/>
      </w:pPr>
      <w:r w:rsidRPr="005C4BE8">
        <w:t>cost base and acquisition date rules under Subdivision 130-D be expressly accommodated in the transitional provisions.</w:t>
      </w:r>
    </w:p>
    <w:p w:rsidR="00EA58AB" w:rsidRPr="00EA58AB" w:rsidP="00F549A7" w14:paraId="1F7E9B16" w14:textId="67837324">
      <w:pPr>
        <w:pStyle w:val="Heading1"/>
        <w:ind w:hanging="849"/>
        <w:rPr>
          <w:rFonts w:asciiTheme="majorHAnsi" w:hAnsiTheme="majorHAnsi" w:cstheme="majorHAnsi"/>
        </w:rPr>
      </w:pPr>
      <w:r w:rsidRPr="00EA58AB">
        <w:rPr>
          <w:rFonts w:asciiTheme="majorHAnsi" w:hAnsiTheme="majorHAnsi" w:cstheme="majorHAnsi"/>
        </w:rPr>
        <w:t>The Holding Period</w:t>
      </w:r>
    </w:p>
    <w:p w:rsidR="00EA58AB" w:rsidRPr="00A12507" w:rsidP="00F549A7" w14:paraId="57105D14" w14:textId="77777777">
      <w:pPr>
        <w:keepNext/>
        <w:ind w:left="851"/>
        <w:jc w:val="both"/>
        <w:rPr>
          <w:rFonts w:asciiTheme="majorHAnsi" w:hAnsiTheme="majorHAnsi" w:cstheme="majorHAnsi"/>
          <w:b/>
          <w:bCs/>
        </w:rPr>
      </w:pPr>
      <w:r w:rsidRPr="00A12507">
        <w:rPr>
          <w:rFonts w:asciiTheme="majorHAnsi" w:hAnsiTheme="majorHAnsi" w:cstheme="majorHAnsi"/>
          <w:b/>
          <w:bCs/>
        </w:rPr>
        <w:t>Relevant consultation question: Question 5</w:t>
      </w:r>
    </w:p>
    <w:p w:rsidR="00EA58AB" w:rsidRPr="00A12507" w:rsidP="00F549A7" w14:paraId="29CFAA0C" w14:textId="77777777">
      <w:pPr>
        <w:keepNext/>
        <w:ind w:left="851"/>
        <w:rPr>
          <w:rFonts w:asciiTheme="majorHAnsi" w:hAnsiTheme="majorHAnsi" w:cstheme="majorHAnsi"/>
          <w:b/>
          <w:bCs/>
          <w:u w:val="single"/>
        </w:rPr>
      </w:pPr>
      <w:r w:rsidRPr="00A12507">
        <w:rPr>
          <w:rFonts w:asciiTheme="majorHAnsi" w:hAnsiTheme="majorHAnsi" w:cstheme="majorHAnsi"/>
          <w:b/>
          <w:bCs/>
          <w:u w:val="single"/>
        </w:rPr>
        <w:t>The Five-Year Minimum Holding Period Is Too Rigid for Employees</w:t>
      </w:r>
    </w:p>
    <w:p w:rsidR="00EA58AB" w:rsidRPr="00EA58AB" w:rsidP="00EA58AB" w14:paraId="1EBB69C6" w14:textId="77777777">
      <w:pPr>
        <w:ind w:left="851"/>
        <w:rPr>
          <w:rFonts w:asciiTheme="majorHAnsi" w:hAnsiTheme="majorHAnsi" w:cstheme="majorHAnsi"/>
        </w:rPr>
      </w:pPr>
      <w:r w:rsidRPr="00EA58AB">
        <w:rPr>
          <w:rFonts w:asciiTheme="majorHAnsi" w:hAnsiTheme="majorHAnsi" w:cstheme="majorHAnsi"/>
        </w:rPr>
        <w:t>The Consultation Paper proposes a minimum five-year holding period before the IBCC becomes available. Employee Ownership Australia considers this period too long for employee participants.</w:t>
      </w:r>
    </w:p>
    <w:p w:rsidR="00EA58AB" w:rsidRPr="00EA58AB" w:rsidP="00EA58AB" w14:paraId="16D59B7C" w14:textId="77777777">
      <w:pPr>
        <w:ind w:left="851"/>
        <w:rPr>
          <w:rFonts w:asciiTheme="majorHAnsi" w:hAnsiTheme="majorHAnsi" w:cstheme="majorHAnsi"/>
        </w:rPr>
      </w:pPr>
      <w:r w:rsidRPr="00EA58AB">
        <w:rPr>
          <w:rFonts w:asciiTheme="majorHAnsi" w:hAnsiTheme="majorHAnsi" w:cstheme="majorHAnsi"/>
        </w:rPr>
        <w:t>The existing start-up concession in section 83A-45 of the ITAA 1997 requires a three-year holding period. The ESIC regime contemplates a 12-month holding period for tax offset purposes. A five-year holding period represents a material increase over existing settings and will impose additional illiquidity on employees who already bear significant employment, business failure and dilution risks.</w:t>
      </w:r>
    </w:p>
    <w:p w:rsidR="00EA58AB" w:rsidRPr="00EA58AB" w:rsidP="00EA58AB" w14:paraId="1BBAB3A0" w14:textId="11679001">
      <w:pPr>
        <w:ind w:left="851"/>
        <w:rPr>
          <w:rFonts w:asciiTheme="majorHAnsi" w:hAnsiTheme="majorHAnsi" w:cstheme="majorHAnsi"/>
        </w:rPr>
      </w:pPr>
      <w:r w:rsidRPr="00EA58AB">
        <w:rPr>
          <w:rFonts w:asciiTheme="majorHAnsi" w:hAnsiTheme="majorHAnsi" w:cstheme="majorHAnsi"/>
        </w:rPr>
        <w:t>Employee equity is fundamentally different from investment equity. Employees cannot diversify; they have concentrated exposure to a single company through both their human capital (employment) and their financial capital (equity). Extending the required holding period compounds this concentration risk.</w:t>
      </w:r>
      <w:r w:rsidR="00FD0BF7">
        <w:rPr>
          <w:rFonts w:asciiTheme="majorHAnsi" w:hAnsiTheme="majorHAnsi" w:cstheme="majorHAnsi"/>
        </w:rPr>
        <w:t xml:space="preserve"> If Employee Ownership Australia’s principal recommendation is not accepted, Treasury is strongly urged to align the holding period for the IBCC with the existing 3-year setting as a minimum.</w:t>
      </w:r>
    </w:p>
    <w:p w:rsidR="00EA58AB" w:rsidRPr="00BA460C" w:rsidP="00EA58AB" w14:paraId="6489B0DA" w14:textId="77777777">
      <w:pPr>
        <w:ind w:left="851"/>
        <w:rPr>
          <w:rFonts w:asciiTheme="majorHAnsi" w:hAnsiTheme="majorHAnsi" w:cstheme="majorHAnsi"/>
          <w:b/>
          <w:bCs/>
          <w:u w:val="single"/>
        </w:rPr>
      </w:pPr>
      <w:r w:rsidRPr="00BA460C">
        <w:rPr>
          <w:rFonts w:asciiTheme="majorHAnsi" w:hAnsiTheme="majorHAnsi" w:cstheme="majorHAnsi"/>
          <w:b/>
          <w:bCs/>
          <w:u w:val="single"/>
        </w:rPr>
        <w:t>Employee Ownership Australia Recommends a Three-Year Holding Period with Carve-Outs</w:t>
      </w:r>
    </w:p>
    <w:p w:rsidR="00EA58AB" w:rsidRPr="00EA58AB" w:rsidP="00EA58AB" w14:paraId="11529016" w14:textId="77777777">
      <w:pPr>
        <w:ind w:left="851"/>
        <w:rPr>
          <w:rFonts w:asciiTheme="majorHAnsi" w:hAnsiTheme="majorHAnsi" w:cstheme="majorHAnsi"/>
        </w:rPr>
      </w:pPr>
      <w:r w:rsidRPr="00EA58AB">
        <w:rPr>
          <w:rFonts w:asciiTheme="majorHAnsi" w:hAnsiTheme="majorHAnsi" w:cstheme="majorHAnsi"/>
        </w:rPr>
        <w:t>Employee Ownership Australia recommends:</w:t>
      </w:r>
    </w:p>
    <w:p w:rsidR="00EA58AB" w:rsidRPr="005C4BE8" w:rsidP="00864D34" w14:paraId="276E5D42" w14:textId="4A6D9D00">
      <w:pPr>
        <w:pStyle w:val="ListBulletIndent"/>
        <w:numPr>
          <w:ilvl w:val="3"/>
          <w:numId w:val="20"/>
        </w:numPr>
        <w:ind w:left="1211"/>
      </w:pPr>
      <w:r w:rsidRPr="005C4BE8">
        <w:t>a three-year holding period for employee participants, aligned with the existing start-up concession;</w:t>
      </w:r>
    </w:p>
    <w:p w:rsidR="00EA58AB" w:rsidRPr="005C4BE8" w:rsidP="00864D34" w14:paraId="4FFC6878" w14:textId="58AAD0E5">
      <w:pPr>
        <w:pStyle w:val="ListBulletIndent"/>
        <w:numPr>
          <w:ilvl w:val="3"/>
          <w:numId w:val="20"/>
        </w:numPr>
        <w:ind w:left="1211"/>
      </w:pPr>
      <w:r w:rsidRPr="005C4BE8">
        <w:t>carve-outs for events outside employees’ control, including:</w:t>
      </w:r>
    </w:p>
    <w:p w:rsidR="00EA58AB" w:rsidRPr="005C4BE8" w:rsidP="00864D34" w14:paraId="2140A5FA" w14:textId="67005F67">
      <w:pPr>
        <w:pStyle w:val="ListBulletIndent"/>
        <w:numPr>
          <w:ilvl w:val="3"/>
          <w:numId w:val="20"/>
        </w:numPr>
        <w:ind w:left="1211"/>
      </w:pPr>
      <w:r w:rsidRPr="005C4BE8">
        <w:t>whole-of-company sales or changes of control;</w:t>
      </w:r>
    </w:p>
    <w:p w:rsidR="00EA58AB" w:rsidRPr="005C4BE8" w:rsidP="00864D34" w14:paraId="482C2E41" w14:textId="2EF40264">
      <w:pPr>
        <w:pStyle w:val="ListBulletIndent"/>
        <w:numPr>
          <w:ilvl w:val="3"/>
          <w:numId w:val="20"/>
        </w:numPr>
        <w:ind w:left="1211"/>
      </w:pPr>
      <w:r w:rsidRPr="005C4BE8">
        <w:t>scrip-for-scrip rollovers and Division 615 top-hat restructures;</w:t>
      </w:r>
    </w:p>
    <w:p w:rsidR="00EA58AB" w:rsidRPr="005C4BE8" w:rsidP="00864D34" w14:paraId="61F7438F" w14:textId="130FC0D2">
      <w:pPr>
        <w:pStyle w:val="ListBulletIndent"/>
        <w:numPr>
          <w:ilvl w:val="3"/>
          <w:numId w:val="20"/>
        </w:numPr>
        <w:ind w:left="1211"/>
      </w:pPr>
      <w:r w:rsidRPr="005C4BE8">
        <w:t>employee cessation of employment (including termination, redundancy, death and permanent incapacity);</w:t>
      </w:r>
    </w:p>
    <w:p w:rsidR="00EA58AB" w:rsidRPr="005C4BE8" w:rsidP="00864D34" w14:paraId="65E7BDE2" w14:textId="5F905D11">
      <w:pPr>
        <w:pStyle w:val="ListBulletIndent"/>
        <w:numPr>
          <w:ilvl w:val="3"/>
          <w:numId w:val="20"/>
        </w:numPr>
        <w:ind w:left="1211"/>
      </w:pPr>
      <w:r w:rsidRPr="005C4BE8">
        <w:t>compulsory acquisitions under the Corporations Act;</w:t>
      </w:r>
    </w:p>
    <w:p w:rsidR="00EA58AB" w:rsidRPr="005C4BE8" w:rsidP="00864D34" w14:paraId="066C6763" w14:textId="387B01BF">
      <w:pPr>
        <w:pStyle w:val="ListBulletIndent"/>
        <w:numPr>
          <w:ilvl w:val="3"/>
          <w:numId w:val="20"/>
        </w:numPr>
        <w:ind w:left="1211"/>
      </w:pPr>
      <w:r w:rsidRPr="005C4BE8">
        <w:t>IPO-related sell-downs required by underwriters or regulatory requirements;</w:t>
      </w:r>
    </w:p>
    <w:p w:rsidR="00EA58AB" w:rsidRPr="005C4BE8" w:rsidP="00864D34" w14:paraId="07C7041B" w14:textId="08678101">
      <w:pPr>
        <w:pStyle w:val="ListBulletIndent"/>
        <w:numPr>
          <w:ilvl w:val="3"/>
          <w:numId w:val="20"/>
        </w:numPr>
        <w:ind w:left="1211"/>
      </w:pPr>
      <w:r w:rsidRPr="005C4BE8">
        <w:t>secondary sales permitted under plan rules; and</w:t>
      </w:r>
    </w:p>
    <w:p w:rsidR="00EA58AB" w:rsidRPr="005C4BE8" w:rsidP="00864D34" w14:paraId="78F529B1" w14:textId="1ABA1A54">
      <w:pPr>
        <w:pStyle w:val="ListBulletIndent"/>
        <w:numPr>
          <w:ilvl w:val="3"/>
          <w:numId w:val="20"/>
        </w:numPr>
        <w:ind w:left="1211"/>
      </w:pPr>
      <w:r w:rsidRPr="005C4BE8">
        <w:t xml:space="preserve">corporate </w:t>
      </w:r>
      <w:r w:rsidRPr="005C4BE8">
        <w:t>reorganisations</w:t>
      </w:r>
      <w:r w:rsidRPr="005C4BE8">
        <w:t xml:space="preserve"> not involving cashing out of the employee’s interest.</w:t>
      </w:r>
    </w:p>
    <w:p w:rsidR="00EA58AB" w:rsidRPr="00EA58AB" w:rsidP="00EA58AB" w14:paraId="704D59BE" w14:textId="77777777">
      <w:pPr>
        <w:ind w:left="851"/>
        <w:rPr>
          <w:rFonts w:asciiTheme="majorHAnsi" w:hAnsiTheme="majorHAnsi" w:cstheme="majorHAnsi"/>
        </w:rPr>
      </w:pPr>
      <w:r w:rsidRPr="00EA58AB">
        <w:rPr>
          <w:rFonts w:asciiTheme="majorHAnsi" w:hAnsiTheme="majorHAnsi" w:cstheme="majorHAnsi"/>
        </w:rPr>
        <w:t>Many of these events are entirely outside the employee’s control. An employee who is made redundant, whose company is acquired, or who is required to sell shares in connection with an IPO should not lose access to the IBCC because a holding period has not been satisfied.</w:t>
      </w:r>
    </w:p>
    <w:p w:rsidR="00EA58AB" w:rsidRPr="00EA58AB" w:rsidP="004C3581" w14:paraId="6278C455" w14:textId="59BD9399">
      <w:pPr>
        <w:pStyle w:val="Heading1"/>
        <w:ind w:hanging="849"/>
        <w:rPr>
          <w:rFonts w:asciiTheme="majorHAnsi" w:hAnsiTheme="majorHAnsi" w:cstheme="majorHAnsi"/>
        </w:rPr>
      </w:pPr>
      <w:r w:rsidRPr="00EA58AB">
        <w:rPr>
          <w:rFonts w:asciiTheme="majorHAnsi" w:hAnsiTheme="majorHAnsi" w:cstheme="majorHAnsi"/>
        </w:rPr>
        <w:t>Rollovers and Continuity</w:t>
      </w:r>
    </w:p>
    <w:p w:rsidR="00EA58AB" w:rsidRPr="00A12507" w:rsidP="00EA58AB" w14:paraId="4E10E9E3" w14:textId="77777777">
      <w:pPr>
        <w:ind w:left="851"/>
        <w:rPr>
          <w:rFonts w:asciiTheme="majorHAnsi" w:hAnsiTheme="majorHAnsi" w:cstheme="majorHAnsi"/>
          <w:b/>
          <w:bCs/>
        </w:rPr>
      </w:pPr>
      <w:r w:rsidRPr="00A12507">
        <w:rPr>
          <w:rFonts w:asciiTheme="majorHAnsi" w:hAnsiTheme="majorHAnsi" w:cstheme="majorHAnsi"/>
          <w:b/>
          <w:bCs/>
        </w:rPr>
        <w:t>Relevant consultation questions: Questions 5 and 7</w:t>
      </w:r>
    </w:p>
    <w:p w:rsidR="00EA58AB" w:rsidRPr="00A12507" w:rsidP="00EA58AB" w14:paraId="79E990B6" w14:textId="77777777">
      <w:pPr>
        <w:ind w:left="851"/>
        <w:rPr>
          <w:rFonts w:asciiTheme="majorHAnsi" w:hAnsiTheme="majorHAnsi" w:cstheme="majorHAnsi"/>
          <w:b/>
          <w:bCs/>
          <w:u w:val="single"/>
        </w:rPr>
      </w:pPr>
      <w:r w:rsidRPr="00A12507">
        <w:rPr>
          <w:rFonts w:asciiTheme="majorHAnsi" w:hAnsiTheme="majorHAnsi" w:cstheme="majorHAnsi"/>
          <w:b/>
          <w:bCs/>
          <w:u w:val="single"/>
        </w:rPr>
        <w:t>IBCC Status Must Be Preserved Through Corporate Restructures</w:t>
      </w:r>
    </w:p>
    <w:p w:rsidR="00EA58AB" w:rsidRPr="00EA58AB" w:rsidP="00EA58AB" w14:paraId="1061A1DD" w14:textId="77777777">
      <w:pPr>
        <w:ind w:left="851"/>
        <w:rPr>
          <w:rFonts w:asciiTheme="majorHAnsi" w:hAnsiTheme="majorHAnsi" w:cstheme="majorHAnsi"/>
        </w:rPr>
      </w:pPr>
      <w:r w:rsidRPr="00EA58AB">
        <w:rPr>
          <w:rFonts w:asciiTheme="majorHAnsi" w:hAnsiTheme="majorHAnsi" w:cstheme="majorHAnsi"/>
        </w:rPr>
        <w:t>Start-up and growth companies commonly undertake corporate restructures during their lifecycle, including top-hat restructures under Division 615 before capital raisings, scrip-for-scrip transactions under Subdivision 124-M in connection with acquisitions or mergers, restructures for IPO preparation, restructures for international expansion, and restructures to facilitate acquisition by a larger entity.</w:t>
      </w:r>
    </w:p>
    <w:p w:rsidR="00EA58AB" w:rsidRPr="00EA58AB" w:rsidP="00EA58AB" w14:paraId="0C8B45A0" w14:textId="77777777">
      <w:pPr>
        <w:ind w:left="851"/>
        <w:rPr>
          <w:rFonts w:asciiTheme="majorHAnsi" w:hAnsiTheme="majorHAnsi" w:cstheme="majorHAnsi"/>
        </w:rPr>
      </w:pPr>
      <w:r w:rsidRPr="00EA58AB">
        <w:rPr>
          <w:rFonts w:asciiTheme="majorHAnsi" w:hAnsiTheme="majorHAnsi" w:cstheme="majorHAnsi"/>
        </w:rPr>
        <w:t>These transactions are a normal and commercially necessary part of the innovation lifecycle. They should not result in the loss of IBCC status for employees (or other participants) whose equity is replaced or rolled over in the restructure.</w:t>
      </w:r>
    </w:p>
    <w:p w:rsidR="00EA58AB" w:rsidRPr="00EA58AB" w:rsidP="00EA58AB" w14:paraId="55FAB04A" w14:textId="77777777">
      <w:pPr>
        <w:ind w:left="851"/>
        <w:rPr>
          <w:rFonts w:asciiTheme="majorHAnsi" w:hAnsiTheme="majorHAnsi" w:cstheme="majorHAnsi"/>
        </w:rPr>
      </w:pPr>
      <w:r w:rsidRPr="00EA58AB">
        <w:rPr>
          <w:rFonts w:asciiTheme="majorHAnsi" w:hAnsiTheme="majorHAnsi" w:cstheme="majorHAnsi"/>
        </w:rPr>
        <w:t>The legislation should provide continuity rules so that:</w:t>
      </w:r>
    </w:p>
    <w:p w:rsidR="00EA58AB" w:rsidRPr="005C4BE8" w:rsidP="00864D34" w14:paraId="0D49E452" w14:textId="378D2C4F">
      <w:pPr>
        <w:pStyle w:val="ListBulletIndent"/>
        <w:numPr>
          <w:ilvl w:val="3"/>
          <w:numId w:val="20"/>
        </w:numPr>
        <w:ind w:left="1211"/>
      </w:pPr>
      <w:r w:rsidRPr="005C4BE8">
        <w:t xml:space="preserve">replacement interests issued in a </w:t>
      </w:r>
      <w:r w:rsidRPr="005C4BE8">
        <w:t>Division</w:t>
      </w:r>
      <w:r w:rsidRPr="005C4BE8">
        <w:t xml:space="preserve"> 615 </w:t>
      </w:r>
      <w:r w:rsidRPr="005C4BE8">
        <w:t>restructure</w:t>
      </w:r>
      <w:r w:rsidRPr="005C4BE8">
        <w:t xml:space="preserve"> retain IBCC status and inherit the holding period of the original interest;</w:t>
      </w:r>
    </w:p>
    <w:p w:rsidR="00EA58AB" w:rsidRPr="005C4BE8" w:rsidP="00864D34" w14:paraId="66C8E4AB" w14:textId="48FA36E4">
      <w:pPr>
        <w:pStyle w:val="ListBulletIndent"/>
        <w:numPr>
          <w:ilvl w:val="3"/>
          <w:numId w:val="20"/>
        </w:numPr>
        <w:ind w:left="1211"/>
      </w:pPr>
      <w:r w:rsidRPr="005C4BE8">
        <w:t xml:space="preserve">replacement interests issued in a Subdivision 124-M </w:t>
      </w:r>
      <w:r w:rsidRPr="005C4BE8">
        <w:t>scrip</w:t>
      </w:r>
      <w:r w:rsidRPr="005C4BE8">
        <w:t>-for-scrip rollover retain IBCC status;</w:t>
      </w:r>
    </w:p>
    <w:p w:rsidR="00EA58AB" w:rsidRPr="005C4BE8" w:rsidP="00864D34" w14:paraId="43F96DE1" w14:textId="459B5200">
      <w:pPr>
        <w:pStyle w:val="ListBulletIndent"/>
        <w:numPr>
          <w:ilvl w:val="3"/>
          <w:numId w:val="20"/>
        </w:numPr>
        <w:ind w:left="1211"/>
      </w:pPr>
      <w:r w:rsidRPr="005C4BE8">
        <w:t>ESS interests that are converted, exchanged or replaced as part of a qualifying restructure are not treated as new interests requiring fresh satisfaction of eligibility criteria; and</w:t>
      </w:r>
    </w:p>
    <w:p w:rsidR="00EA58AB" w:rsidRPr="005C4BE8" w:rsidP="00864D34" w14:paraId="52F930F2" w14:textId="585FF735">
      <w:pPr>
        <w:pStyle w:val="ListBulletIndent"/>
        <w:numPr>
          <w:ilvl w:val="3"/>
          <w:numId w:val="20"/>
        </w:numPr>
        <w:ind w:left="1211"/>
      </w:pPr>
      <w:r w:rsidRPr="005C4BE8">
        <w:t>the</w:t>
      </w:r>
      <w:r w:rsidRPr="005C4BE8">
        <w:t xml:space="preserve"> holding period clock is not reset by a </w:t>
      </w:r>
      <w:r w:rsidRPr="005C4BE8">
        <w:t>restructure</w:t>
      </w:r>
      <w:r w:rsidRPr="005C4BE8">
        <w:t xml:space="preserve"> that does not involve the employee receiving cash proceeds.</w:t>
      </w:r>
    </w:p>
    <w:p w:rsidR="00EA58AB" w:rsidRPr="00EA58AB" w:rsidP="00EA58AB" w14:paraId="3CD79672" w14:textId="77777777">
      <w:pPr>
        <w:ind w:left="851"/>
        <w:rPr>
          <w:rFonts w:asciiTheme="majorHAnsi" w:hAnsiTheme="majorHAnsi" w:cstheme="majorHAnsi"/>
        </w:rPr>
      </w:pPr>
      <w:r w:rsidRPr="00EA58AB">
        <w:rPr>
          <w:rFonts w:asciiTheme="majorHAnsi" w:hAnsiTheme="majorHAnsi" w:cstheme="majorHAnsi"/>
        </w:rPr>
        <w:t>Without these rules, the IBCC would distort ordinary corporate activity and discourage commercially necessary restructures, or penalise employees for events entirely outside their control.</w:t>
      </w:r>
    </w:p>
    <w:p w:rsidR="00EA58AB" w:rsidRPr="00EA58AB" w:rsidP="004C3581" w14:paraId="35B367C9" w14:textId="5758D3AE">
      <w:pPr>
        <w:pStyle w:val="Heading1"/>
        <w:ind w:hanging="849"/>
        <w:rPr>
          <w:rFonts w:asciiTheme="majorHAnsi" w:hAnsiTheme="majorHAnsi" w:cstheme="majorHAnsi"/>
        </w:rPr>
      </w:pPr>
      <w:r w:rsidRPr="00EA58AB">
        <w:rPr>
          <w:rFonts w:asciiTheme="majorHAnsi" w:hAnsiTheme="majorHAnsi" w:cstheme="majorHAnsi"/>
        </w:rPr>
        <w:t>The $10 Million Lifetime Cap</w:t>
      </w:r>
    </w:p>
    <w:p w:rsidR="00EA58AB" w:rsidRPr="00A12507" w:rsidP="00EA58AB" w14:paraId="3EA151BA" w14:textId="77777777">
      <w:pPr>
        <w:ind w:left="851"/>
        <w:rPr>
          <w:rFonts w:asciiTheme="majorHAnsi" w:hAnsiTheme="majorHAnsi" w:cstheme="majorHAnsi"/>
          <w:b/>
          <w:bCs/>
        </w:rPr>
      </w:pPr>
      <w:r w:rsidRPr="00A12507">
        <w:rPr>
          <w:rFonts w:asciiTheme="majorHAnsi" w:hAnsiTheme="majorHAnsi" w:cstheme="majorHAnsi"/>
          <w:b/>
          <w:bCs/>
        </w:rPr>
        <w:t>Relevant consultation question: Question 6</w:t>
      </w:r>
    </w:p>
    <w:p w:rsidR="00EA58AB" w:rsidRPr="00A12507" w:rsidP="00EA58AB" w14:paraId="4DC91FE4" w14:textId="77777777">
      <w:pPr>
        <w:ind w:left="851"/>
        <w:rPr>
          <w:rFonts w:asciiTheme="majorHAnsi" w:hAnsiTheme="majorHAnsi" w:cstheme="majorHAnsi"/>
          <w:b/>
          <w:bCs/>
          <w:u w:val="single"/>
        </w:rPr>
      </w:pPr>
      <w:r w:rsidRPr="00A12507">
        <w:rPr>
          <w:rFonts w:asciiTheme="majorHAnsi" w:hAnsiTheme="majorHAnsi" w:cstheme="majorHAnsi"/>
          <w:b/>
          <w:bCs/>
          <w:u w:val="single"/>
        </w:rPr>
        <w:t>The Lifetime Cap Must Be Reconsidered to Remain Meaningful for Employees in High-Growth Outcomes</w:t>
      </w:r>
    </w:p>
    <w:p w:rsidR="00EA58AB" w:rsidRPr="00EA58AB" w:rsidP="00EA58AB" w14:paraId="37D94712" w14:textId="77777777">
      <w:pPr>
        <w:ind w:left="851"/>
        <w:rPr>
          <w:rFonts w:asciiTheme="majorHAnsi" w:hAnsiTheme="majorHAnsi" w:cstheme="majorHAnsi"/>
        </w:rPr>
      </w:pPr>
      <w:r w:rsidRPr="00EA58AB">
        <w:rPr>
          <w:rFonts w:asciiTheme="majorHAnsi" w:hAnsiTheme="majorHAnsi" w:cstheme="majorHAnsi"/>
        </w:rPr>
        <w:t>Employee Ownership Australia understands the rationale for a cap on the IBCC’s benefits. However, innovation ecosystems are driven by a small number of exceptional successes. Employees and founders in genuine high-growth companies may reach the $10 million lifetime cap relatively quickly, after which near-nil-cost-base equity receives little benefit from indexation alone.</w:t>
      </w:r>
    </w:p>
    <w:p w:rsidR="00EA58AB" w:rsidP="00EA58AB" w14:paraId="25883DD4" w14:textId="77777777">
      <w:pPr>
        <w:ind w:left="851"/>
        <w:rPr>
          <w:rFonts w:asciiTheme="majorHAnsi" w:hAnsiTheme="majorHAnsi" w:cstheme="majorHAnsi"/>
        </w:rPr>
      </w:pPr>
      <w:r w:rsidRPr="00EA58AB">
        <w:rPr>
          <w:rFonts w:asciiTheme="majorHAnsi" w:hAnsiTheme="majorHAnsi" w:cstheme="majorHAnsi"/>
        </w:rPr>
        <w:t>For employees in particular, the lifetime cap may operate harshly. An employee who has spent a decade building a single company, accepting below-market pay and bearing significant risk throughout, may find that the concession is exhausted by a single exit event. The cap as proposed makes no distinction between an employee’s reward for years of productive effort and a passive investor’s return on capital.</w:t>
      </w:r>
    </w:p>
    <w:p w:rsidR="00C128C5" w:rsidRPr="00EA58AB" w:rsidP="00EA58AB" w14:paraId="7B81DCD8" w14:textId="0A97D312">
      <w:pPr>
        <w:ind w:left="851"/>
        <w:rPr>
          <w:rFonts w:asciiTheme="majorHAnsi" w:hAnsiTheme="majorHAnsi" w:cstheme="majorHAnsi"/>
        </w:rPr>
      </w:pPr>
      <w:r>
        <w:rPr>
          <w:rFonts w:asciiTheme="majorHAnsi" w:hAnsiTheme="majorHAnsi" w:cstheme="majorHAnsi"/>
        </w:rPr>
        <w:t xml:space="preserve">The Consultation Paper also suggests that the $10 million cap </w:t>
      </w:r>
      <w:r w:rsidR="00CB047D">
        <w:rPr>
          <w:rFonts w:asciiTheme="majorHAnsi" w:hAnsiTheme="majorHAnsi" w:cstheme="majorHAnsi"/>
        </w:rPr>
        <w:t>is structured as</w:t>
      </w:r>
      <w:r>
        <w:rPr>
          <w:rFonts w:asciiTheme="majorHAnsi" w:hAnsiTheme="majorHAnsi" w:cstheme="majorHAnsi"/>
        </w:rPr>
        <w:t xml:space="preserve"> a per individual lifetime cap, rather than a cap that applies separately in respect of each start-up in which an individual may hold an interest. This structure discourages successive innovati</w:t>
      </w:r>
      <w:r w:rsidR="0070697D">
        <w:rPr>
          <w:rFonts w:asciiTheme="majorHAnsi" w:hAnsiTheme="majorHAnsi" w:cstheme="majorHAnsi"/>
        </w:rPr>
        <w:t xml:space="preserve">ve investment and operates against the behaviours which the IBCC seeks to promote. Treasury should consider a per-company cap which </w:t>
      </w:r>
      <w:r w:rsidR="00A242E6">
        <w:rPr>
          <w:rFonts w:asciiTheme="majorHAnsi" w:hAnsiTheme="majorHAnsi" w:cstheme="majorHAnsi"/>
        </w:rPr>
        <w:t xml:space="preserve">enables companies to attract and retain employees with proven success. </w:t>
      </w:r>
    </w:p>
    <w:p w:rsidR="00EA58AB" w:rsidRPr="00EA58AB" w:rsidP="00EA58AB" w14:paraId="76B8C202" w14:textId="1B6110A7">
      <w:pPr>
        <w:ind w:left="851"/>
        <w:rPr>
          <w:rFonts w:asciiTheme="majorHAnsi" w:hAnsiTheme="majorHAnsi" w:cstheme="majorHAnsi"/>
        </w:rPr>
      </w:pPr>
      <w:r w:rsidRPr="00EA58AB">
        <w:rPr>
          <w:rFonts w:asciiTheme="majorHAnsi" w:hAnsiTheme="majorHAnsi" w:cstheme="majorHAnsi"/>
        </w:rPr>
        <w:t>Employee Ownership Australia recommends that Treasury</w:t>
      </w:r>
      <w:r w:rsidR="00A242E6">
        <w:rPr>
          <w:rFonts w:asciiTheme="majorHAnsi" w:hAnsiTheme="majorHAnsi" w:cstheme="majorHAnsi"/>
        </w:rPr>
        <w:t xml:space="preserve"> also</w:t>
      </w:r>
      <w:r w:rsidRPr="00EA58AB">
        <w:rPr>
          <w:rFonts w:asciiTheme="majorHAnsi" w:hAnsiTheme="majorHAnsi" w:cstheme="majorHAnsi"/>
        </w:rPr>
        <w:t xml:space="preserve"> consider:</w:t>
      </w:r>
    </w:p>
    <w:p w:rsidR="00EA58AB" w:rsidRPr="005C4BE8" w:rsidP="00864D34" w14:paraId="4266E35A" w14:textId="614F526A">
      <w:pPr>
        <w:pStyle w:val="ListBulletIndent"/>
        <w:numPr>
          <w:ilvl w:val="3"/>
          <w:numId w:val="20"/>
        </w:numPr>
        <w:ind w:left="1211"/>
      </w:pPr>
      <w:r w:rsidRPr="005C4BE8">
        <w:t>indexation of the cap to maintain its real value over time;</w:t>
      </w:r>
    </w:p>
    <w:p w:rsidR="00EA58AB" w:rsidRPr="005C4BE8" w:rsidP="00864D34" w14:paraId="002CCB11" w14:textId="60C4ADA7">
      <w:pPr>
        <w:pStyle w:val="ListBulletIndent"/>
        <w:numPr>
          <w:ilvl w:val="3"/>
          <w:numId w:val="20"/>
        </w:numPr>
        <w:ind w:left="1211"/>
      </w:pPr>
      <w:r w:rsidRPr="005C4BE8">
        <w:t>tapering relief above the cap rather than a hard cliff-edge;</w:t>
      </w:r>
    </w:p>
    <w:p w:rsidR="00EA58AB" w:rsidRPr="005C4BE8" w:rsidP="00864D34" w14:paraId="5176F6B5" w14:textId="5AFF229A">
      <w:pPr>
        <w:pStyle w:val="ListBulletIndent"/>
        <w:numPr>
          <w:ilvl w:val="3"/>
          <w:numId w:val="20"/>
        </w:numPr>
        <w:ind w:left="1211"/>
      </w:pPr>
      <w:r w:rsidRPr="005C4BE8">
        <w:t xml:space="preserve">separate caps or treatment for employees and founders versus external investors, </w:t>
      </w:r>
      <w:r w:rsidRPr="005C4BE8">
        <w:t>recognising</w:t>
      </w:r>
      <w:r w:rsidRPr="005C4BE8">
        <w:t xml:space="preserve"> the different nature of their contribution; and</w:t>
      </w:r>
    </w:p>
    <w:p w:rsidR="00EA58AB" w:rsidRPr="005C4BE8" w:rsidP="00864D34" w14:paraId="5BE36C0C" w14:textId="716B2857">
      <w:pPr>
        <w:pStyle w:val="ListBulletIndent"/>
        <w:numPr>
          <w:ilvl w:val="3"/>
          <w:numId w:val="20"/>
        </w:numPr>
        <w:ind w:left="1211"/>
      </w:pPr>
      <w:r w:rsidRPr="005C4BE8">
        <w:t xml:space="preserve">preservation of a partial discount above the cap for nil or low-cost-base </w:t>
      </w:r>
      <w:r w:rsidRPr="005C4BE8">
        <w:t>founder</w:t>
      </w:r>
      <w:r w:rsidRPr="005C4BE8">
        <w:t xml:space="preserve"> and employee equity, where indexation provides no meaningful relief.</w:t>
      </w:r>
    </w:p>
    <w:p w:rsidR="00EA58AB" w:rsidRPr="00EA58AB" w:rsidP="004C3581" w14:paraId="3EB4FEF9" w14:textId="69F6C23D">
      <w:pPr>
        <w:pStyle w:val="Heading1"/>
        <w:ind w:hanging="849"/>
        <w:rPr>
          <w:rFonts w:asciiTheme="majorHAnsi" w:hAnsiTheme="majorHAnsi" w:cstheme="majorHAnsi"/>
        </w:rPr>
      </w:pPr>
      <w:r w:rsidRPr="00EA58AB">
        <w:rPr>
          <w:rFonts w:asciiTheme="majorHAnsi" w:hAnsiTheme="majorHAnsi" w:cstheme="majorHAnsi"/>
        </w:rPr>
        <w:t>Trust Minimum Tax and Ongoing Consultation</w:t>
      </w:r>
    </w:p>
    <w:p w:rsidR="00EA58AB" w:rsidRPr="005D282D" w:rsidP="00EA58AB" w14:paraId="40A65E8A" w14:textId="77777777">
      <w:pPr>
        <w:ind w:left="851"/>
        <w:rPr>
          <w:rFonts w:asciiTheme="majorHAnsi" w:hAnsiTheme="majorHAnsi" w:cstheme="majorHAnsi"/>
          <w:b/>
          <w:bCs/>
          <w:u w:val="single"/>
        </w:rPr>
      </w:pPr>
      <w:r w:rsidRPr="005D282D">
        <w:rPr>
          <w:rFonts w:asciiTheme="majorHAnsi" w:hAnsiTheme="majorHAnsi" w:cstheme="majorHAnsi"/>
          <w:b/>
          <w:bCs/>
          <w:u w:val="single"/>
        </w:rPr>
        <w:t>Employee Share Trusts and Employee Ownership Trusts Must Be Excluded from Any Future Trust Minimum Tax</w:t>
      </w:r>
    </w:p>
    <w:p w:rsidR="00EA58AB" w:rsidRPr="00EA58AB" w:rsidP="00EA58AB" w14:paraId="4985A3EE" w14:textId="77777777">
      <w:pPr>
        <w:ind w:left="851"/>
        <w:rPr>
          <w:rFonts w:asciiTheme="majorHAnsi" w:hAnsiTheme="majorHAnsi" w:cstheme="majorHAnsi"/>
        </w:rPr>
      </w:pPr>
      <w:r w:rsidRPr="00EA58AB">
        <w:rPr>
          <w:rFonts w:asciiTheme="majorHAnsi" w:hAnsiTheme="majorHAnsi" w:cstheme="majorHAnsi"/>
        </w:rPr>
        <w:t>Consistent with its submission of 9 June 2026 to the Senate Economics Legislation Committee, Employee Ownership Australia reiterates that employee share trusts and genuine employee ownership trusts should be expressly excluded from any future discretionary trust minimum tax.</w:t>
      </w:r>
    </w:p>
    <w:p w:rsidR="00EA58AB" w:rsidRPr="00EA58AB" w:rsidP="00EA58AB" w14:paraId="26EECC76" w14:textId="77777777">
      <w:pPr>
        <w:ind w:left="851"/>
        <w:rPr>
          <w:rFonts w:asciiTheme="majorHAnsi" w:hAnsiTheme="majorHAnsi" w:cstheme="majorHAnsi"/>
        </w:rPr>
      </w:pPr>
      <w:r w:rsidRPr="00EA58AB">
        <w:rPr>
          <w:rFonts w:asciiTheme="majorHAnsi" w:hAnsiTheme="majorHAnsi" w:cstheme="majorHAnsi"/>
        </w:rPr>
        <w:t>These structures serve a fundamentally different economic function from the discretionary trust arrangements at which that measure is directed. They exist solely to facilitate employee equity participation and do not produce the income splitting, CGT deferral or tax arbitrage outcomes that the trust minimum tax is intended to address.</w:t>
      </w:r>
    </w:p>
    <w:p w:rsidR="00EA58AB" w:rsidRPr="005D282D" w:rsidP="00EA58AB" w14:paraId="32268D08" w14:textId="77777777">
      <w:pPr>
        <w:ind w:left="851"/>
        <w:rPr>
          <w:rFonts w:asciiTheme="majorHAnsi" w:hAnsiTheme="majorHAnsi" w:cstheme="majorHAnsi"/>
          <w:b/>
          <w:bCs/>
          <w:u w:val="single"/>
        </w:rPr>
      </w:pPr>
      <w:r w:rsidRPr="005D282D">
        <w:rPr>
          <w:rFonts w:asciiTheme="majorHAnsi" w:hAnsiTheme="majorHAnsi" w:cstheme="majorHAnsi"/>
          <w:b/>
          <w:bCs/>
          <w:u w:val="single"/>
        </w:rPr>
        <w:t>Treasury Must Commit to Targeted, Ongoing Consultation with Employee Ownership Stakeholders</w:t>
      </w:r>
    </w:p>
    <w:p w:rsidR="00EA58AB" w:rsidRPr="00EA58AB" w:rsidP="00EA58AB" w14:paraId="0BFD2E4C" w14:textId="77777777">
      <w:pPr>
        <w:ind w:left="851"/>
        <w:rPr>
          <w:rFonts w:asciiTheme="majorHAnsi" w:hAnsiTheme="majorHAnsi" w:cstheme="majorHAnsi"/>
        </w:rPr>
      </w:pPr>
      <w:r w:rsidRPr="00EA58AB">
        <w:rPr>
          <w:rFonts w:asciiTheme="majorHAnsi" w:hAnsiTheme="majorHAnsi" w:cstheme="majorHAnsi"/>
        </w:rPr>
        <w:t>The interaction between the IBCC, the broader CGT reforms, Division 83A, the trust minimum tax, and the full range of employee share scheme arrangements is complex and consequential. Errors in design will have immediate and material adverse effects on employee equity participation across the Australian economy.</w:t>
      </w:r>
    </w:p>
    <w:p w:rsidR="00EA58AB" w:rsidRPr="00EA58AB" w:rsidP="00EA58AB" w14:paraId="0AE5CA8B" w14:textId="77777777">
      <w:pPr>
        <w:ind w:left="851"/>
        <w:rPr>
          <w:rFonts w:asciiTheme="majorHAnsi" w:hAnsiTheme="majorHAnsi" w:cstheme="majorHAnsi"/>
        </w:rPr>
      </w:pPr>
      <w:r w:rsidRPr="00EA58AB">
        <w:rPr>
          <w:rFonts w:asciiTheme="majorHAnsi" w:hAnsiTheme="majorHAnsi" w:cstheme="majorHAnsi"/>
        </w:rPr>
        <w:t>Employee Ownership Australia recommends that Treasury commit to targeted, ongoing consultation with Employee Ownership Australia, employers, professional advisers and scheme administrators before finalising ESS-related settings within the IBCC legislation or any associated subordinate legislation or guidance.</w:t>
      </w:r>
    </w:p>
    <w:p w:rsidR="00EA58AB" w:rsidRPr="00EA58AB" w:rsidP="00EA58AB" w14:paraId="2C97DB10" w14:textId="77777777">
      <w:pPr>
        <w:ind w:left="851"/>
        <w:rPr>
          <w:rFonts w:asciiTheme="majorHAnsi" w:hAnsiTheme="majorHAnsi" w:cstheme="majorHAnsi"/>
        </w:rPr>
      </w:pPr>
      <w:r w:rsidRPr="00EA58AB">
        <w:rPr>
          <w:rFonts w:asciiTheme="majorHAnsi" w:hAnsiTheme="majorHAnsi" w:cstheme="majorHAnsi"/>
        </w:rPr>
        <w:t>The current consultation period of approximately three weeks is insufficient for stakeholders to fully assess the implications of the proposed regime for the breadth of employee share scheme arrangements in operation across Australia.</w:t>
      </w:r>
    </w:p>
    <w:p w:rsidR="00EA58AB" w:rsidRPr="00EA58AB" w:rsidP="004C3581" w14:paraId="58BBC0DD" w14:textId="4254D2B5">
      <w:pPr>
        <w:pStyle w:val="Heading1"/>
        <w:ind w:hanging="849"/>
        <w:rPr>
          <w:rFonts w:asciiTheme="majorHAnsi" w:hAnsiTheme="majorHAnsi" w:cstheme="majorHAnsi"/>
        </w:rPr>
      </w:pPr>
      <w:r w:rsidRPr="00EA58AB">
        <w:rPr>
          <w:rFonts w:asciiTheme="majorHAnsi" w:hAnsiTheme="majorHAnsi" w:cstheme="majorHAnsi"/>
        </w:rPr>
        <w:t>Summary of Recommendations</w:t>
      </w:r>
    </w:p>
    <w:p w:rsidR="00EA58AB" w:rsidRPr="00EA58AB" w:rsidP="00EA58AB" w14:paraId="35E2C623" w14:textId="77777777">
      <w:pPr>
        <w:ind w:left="851"/>
        <w:rPr>
          <w:rFonts w:asciiTheme="majorHAnsi" w:hAnsiTheme="majorHAnsi" w:cstheme="majorHAnsi"/>
        </w:rPr>
      </w:pPr>
      <w:r w:rsidRPr="00EA58AB">
        <w:rPr>
          <w:rFonts w:asciiTheme="majorHAnsi" w:hAnsiTheme="majorHAnsi" w:cstheme="majorHAnsi"/>
        </w:rPr>
        <w:t>Employee Ownership Australia recommends the following amendments and policy adjustments:</w:t>
      </w:r>
    </w:p>
    <w:p w:rsidR="00EA58AB" w:rsidRPr="00EA58AB" w:rsidP="00A12507" w14:paraId="57D7FD1D" w14:textId="3F4940D2">
      <w:pPr>
        <w:ind w:left="1702" w:hanging="851"/>
        <w:rPr>
          <w:rFonts w:asciiTheme="majorHAnsi" w:hAnsiTheme="majorHAnsi" w:cstheme="majorHAnsi"/>
        </w:rPr>
      </w:pPr>
      <w:r w:rsidRPr="00EA58AB">
        <w:rPr>
          <w:rFonts w:asciiTheme="majorHAnsi" w:hAnsiTheme="majorHAnsi" w:cstheme="majorHAnsi"/>
        </w:rPr>
        <w:tab/>
      </w:r>
    </w:p>
    <w:p w:rsidR="00EA58AB" w:rsidP="00A12507" w14:paraId="1416178E" w14:textId="7848969F">
      <w:pPr>
        <w:ind w:left="1702" w:hanging="851"/>
        <w:rPr>
          <w:rFonts w:asciiTheme="majorHAnsi" w:hAnsiTheme="majorHAnsi" w:cstheme="majorHAnsi"/>
        </w:rPr>
      </w:pPr>
      <w:r>
        <w:rPr>
          <w:rFonts w:asciiTheme="majorHAnsi" w:hAnsiTheme="majorHAnsi" w:cstheme="majorHAnsi"/>
        </w:rPr>
        <w:t>1</w:t>
      </w:r>
      <w:r w:rsidRPr="00EA58AB">
        <w:rPr>
          <w:rFonts w:asciiTheme="majorHAnsi" w:hAnsiTheme="majorHAnsi" w:cstheme="majorHAnsi"/>
        </w:rPr>
        <w:t>.</w:t>
      </w:r>
      <w:r w:rsidRPr="00EA58AB">
        <w:rPr>
          <w:rFonts w:asciiTheme="majorHAnsi" w:hAnsiTheme="majorHAnsi" w:cstheme="majorHAnsi"/>
        </w:rPr>
        <w:tab/>
        <w:t>Retain the existing start-up employee share scheme concession, including its associated discounted capital gains tax treatment, as a standalone regime that is not subject to the eligibility criteria, investment caps or ownership limits applicable to the IBCC. This is Employee Ownership Australia’s foremost and most strongly held recommendation in this submission.</w:t>
      </w:r>
    </w:p>
    <w:p w:rsidR="00EA58AB" w:rsidP="00543DCD" w14:paraId="2E926A25" w14:textId="5ED1775F">
      <w:pPr>
        <w:ind w:left="1701" w:hanging="850"/>
        <w:rPr>
          <w:rFonts w:asciiTheme="majorHAnsi" w:hAnsiTheme="majorHAnsi" w:cstheme="majorHAnsi"/>
        </w:rPr>
      </w:pPr>
      <w:r>
        <w:rPr>
          <w:rFonts w:asciiTheme="majorHAnsi" w:hAnsiTheme="majorHAnsi" w:cstheme="majorHAnsi"/>
        </w:rPr>
        <w:t>2</w:t>
      </w:r>
      <w:r w:rsidR="00543DCD">
        <w:rPr>
          <w:rFonts w:asciiTheme="majorHAnsi" w:hAnsiTheme="majorHAnsi" w:cstheme="majorHAnsi"/>
        </w:rPr>
        <w:t xml:space="preserve">. </w:t>
      </w:r>
      <w:r w:rsidR="00543DCD">
        <w:rPr>
          <w:rFonts w:asciiTheme="majorHAnsi" w:hAnsiTheme="majorHAnsi" w:cstheme="majorHAnsi"/>
        </w:rPr>
        <w:tab/>
      </w:r>
      <w:r w:rsidRPr="00EA58AB">
        <w:rPr>
          <w:rFonts w:asciiTheme="majorHAnsi" w:hAnsiTheme="majorHAnsi" w:cstheme="majorHAnsi"/>
        </w:rPr>
        <w:t>If the existing start-up concession is amended or replaced, fully grandfather — as an essential minimum protection — all qualifying employee share scheme interests issued before the Budget announcement, with the existing capital gains tax treatment continuing to apply.</w:t>
      </w:r>
    </w:p>
    <w:p w:rsidR="00CB047D" w:rsidRPr="00EA58AB" w:rsidP="00A12507" w14:paraId="64BC2FF0" w14:textId="08B05CC2">
      <w:pPr>
        <w:ind w:left="1702" w:hanging="851"/>
        <w:rPr>
          <w:rFonts w:asciiTheme="majorHAnsi" w:hAnsiTheme="majorHAnsi" w:cstheme="majorHAnsi"/>
        </w:rPr>
      </w:pPr>
      <w:r>
        <w:rPr>
          <w:rFonts w:asciiTheme="majorHAnsi" w:hAnsiTheme="majorHAnsi" w:cstheme="majorHAnsi"/>
        </w:rPr>
        <w:t>3.</w:t>
      </w:r>
      <w:r>
        <w:rPr>
          <w:rFonts w:asciiTheme="majorHAnsi" w:hAnsiTheme="majorHAnsi" w:cstheme="majorHAnsi"/>
        </w:rPr>
        <w:tab/>
      </w:r>
      <w:r w:rsidRPr="00EA58AB">
        <w:rPr>
          <w:rFonts w:asciiTheme="majorHAnsi" w:hAnsiTheme="majorHAnsi" w:cstheme="majorHAnsi"/>
        </w:rPr>
        <w:t>Redesign the IBCC to treat employee share scheme interests as a central design consideration, with specific accommodation of the ESS regime’s multi-event architecture.</w:t>
      </w:r>
    </w:p>
    <w:p w:rsidR="00EA58AB" w:rsidRPr="00EA58AB" w:rsidP="00A12507" w14:paraId="41FED2D3" w14:textId="77777777">
      <w:pPr>
        <w:ind w:left="1702" w:hanging="851"/>
        <w:rPr>
          <w:rFonts w:asciiTheme="majorHAnsi" w:hAnsiTheme="majorHAnsi" w:cstheme="majorHAnsi"/>
        </w:rPr>
      </w:pPr>
      <w:r w:rsidRPr="00EA58AB">
        <w:rPr>
          <w:rFonts w:asciiTheme="majorHAnsi" w:hAnsiTheme="majorHAnsi" w:cstheme="majorHAnsi"/>
        </w:rPr>
        <w:t>4.</w:t>
      </w:r>
      <w:r w:rsidRPr="00EA58AB">
        <w:rPr>
          <w:rFonts w:asciiTheme="majorHAnsi" w:hAnsiTheme="majorHAnsi" w:cstheme="majorHAnsi"/>
        </w:rPr>
        <w:tab/>
        <w:t>Preserve the current tax treatment for employee share scheme interests issued under the $1,000 exemption, without imposing the IBCC’s compliance obligations on those arrangements.</w:t>
      </w:r>
    </w:p>
    <w:p w:rsidR="00EA58AB" w:rsidRPr="00EA58AB" w:rsidP="00A12507" w14:paraId="67EACA22" w14:textId="77777777">
      <w:pPr>
        <w:ind w:left="1702" w:hanging="851"/>
        <w:rPr>
          <w:rFonts w:asciiTheme="majorHAnsi" w:hAnsiTheme="majorHAnsi" w:cstheme="majorHAnsi"/>
        </w:rPr>
      </w:pPr>
      <w:r w:rsidRPr="00EA58AB">
        <w:rPr>
          <w:rFonts w:asciiTheme="majorHAnsi" w:hAnsiTheme="majorHAnsi" w:cstheme="majorHAnsi"/>
        </w:rPr>
        <w:t>5.</w:t>
      </w:r>
      <w:r w:rsidRPr="00EA58AB">
        <w:rPr>
          <w:rFonts w:asciiTheme="majorHAnsi" w:hAnsiTheme="majorHAnsi" w:cstheme="majorHAnsi"/>
        </w:rPr>
        <w:tab/>
        <w:t>Include integrity rules ensuring that grandfathered employee share scheme interests retain their grandfathered status where options or rights are exercised or converted into shares, treating the original interest and the resulting share as a single continuing asset.</w:t>
      </w:r>
    </w:p>
    <w:p w:rsidR="00EA58AB" w:rsidRPr="00EA58AB" w:rsidP="00A12507" w14:paraId="35596041" w14:textId="77777777">
      <w:pPr>
        <w:ind w:left="1702" w:hanging="851"/>
        <w:rPr>
          <w:rFonts w:asciiTheme="majorHAnsi" w:hAnsiTheme="majorHAnsi" w:cstheme="majorHAnsi"/>
        </w:rPr>
      </w:pPr>
      <w:r w:rsidRPr="00EA58AB">
        <w:rPr>
          <w:rFonts w:asciiTheme="majorHAnsi" w:hAnsiTheme="majorHAnsi" w:cstheme="majorHAnsi"/>
        </w:rPr>
        <w:t>6.</w:t>
      </w:r>
      <w:r w:rsidRPr="00EA58AB">
        <w:rPr>
          <w:rFonts w:asciiTheme="majorHAnsi" w:hAnsiTheme="majorHAnsi" w:cstheme="majorHAnsi"/>
        </w:rPr>
        <w:tab/>
        <w:t>Introduce specific rules for employee share trusts, covering acquisition from existing shareholders, warehousing, allocation, forfeiture, reallocation, trustee disposals and beneficiary-level qualification.</w:t>
      </w:r>
    </w:p>
    <w:p w:rsidR="00EA58AB" w:rsidRPr="00EA58AB" w:rsidP="00247EFD" w14:paraId="40CE78A7" w14:textId="77777777">
      <w:pPr>
        <w:ind w:left="1702" w:hanging="851"/>
        <w:rPr>
          <w:rFonts w:asciiTheme="majorHAnsi" w:hAnsiTheme="majorHAnsi" w:cstheme="majorHAnsi"/>
        </w:rPr>
      </w:pPr>
      <w:r w:rsidRPr="00EA58AB">
        <w:rPr>
          <w:rFonts w:asciiTheme="majorHAnsi" w:hAnsiTheme="majorHAnsi" w:cstheme="majorHAnsi"/>
        </w:rPr>
        <w:t>7.</w:t>
      </w:r>
      <w:r w:rsidRPr="00EA58AB">
        <w:rPr>
          <w:rFonts w:asciiTheme="majorHAnsi" w:hAnsiTheme="majorHAnsi" w:cstheme="majorHAnsi"/>
        </w:rPr>
        <w:tab/>
        <w:t>Introduce a binding, company-level certification pathway (administered by DISR or equivalent) as a primary innovation qualification mechanism, with an objective points-based alternative.</w:t>
      </w:r>
    </w:p>
    <w:p w:rsidR="00EA58AB" w:rsidRPr="00EA58AB" w:rsidP="00EA58AB" w14:paraId="4BF76CBE" w14:textId="77777777">
      <w:pPr>
        <w:ind w:left="851"/>
        <w:rPr>
          <w:rFonts w:asciiTheme="majorHAnsi" w:hAnsiTheme="majorHAnsi" w:cstheme="majorHAnsi"/>
        </w:rPr>
      </w:pPr>
      <w:r w:rsidRPr="00EA58AB">
        <w:rPr>
          <w:rFonts w:asciiTheme="majorHAnsi" w:hAnsiTheme="majorHAnsi" w:cstheme="majorHAnsi"/>
        </w:rPr>
        <w:t>8.</w:t>
      </w:r>
      <w:r w:rsidRPr="00EA58AB">
        <w:rPr>
          <w:rFonts w:asciiTheme="majorHAnsi" w:hAnsiTheme="majorHAnsi" w:cstheme="majorHAnsi"/>
        </w:rPr>
        <w:tab/>
        <w:t>Reject private rulings as a scalable substitute for certification.</w:t>
      </w:r>
    </w:p>
    <w:p w:rsidR="00EA58AB" w:rsidRPr="00EA58AB" w:rsidP="00247EFD" w14:paraId="6E139933" w14:textId="77777777">
      <w:pPr>
        <w:ind w:left="1702" w:hanging="851"/>
        <w:rPr>
          <w:rFonts w:asciiTheme="majorHAnsi" w:hAnsiTheme="majorHAnsi" w:cstheme="majorHAnsi"/>
        </w:rPr>
      </w:pPr>
      <w:r w:rsidRPr="00EA58AB">
        <w:rPr>
          <w:rFonts w:asciiTheme="majorHAnsi" w:hAnsiTheme="majorHAnsi" w:cstheme="majorHAnsi"/>
        </w:rPr>
        <w:t>9.</w:t>
      </w:r>
      <w:r w:rsidRPr="00EA58AB">
        <w:rPr>
          <w:rFonts w:asciiTheme="majorHAnsi" w:hAnsiTheme="majorHAnsi" w:cstheme="majorHAnsi"/>
        </w:rPr>
        <w:tab/>
        <w:t>Provide safe harbours for founders and early employees where innovation status cannot be demonstrated at the time equity is first issued.</w:t>
      </w:r>
    </w:p>
    <w:p w:rsidR="00EA58AB" w:rsidRPr="00EA58AB" w:rsidP="00247EFD" w14:paraId="00E9341D" w14:textId="77777777">
      <w:pPr>
        <w:ind w:left="1702" w:hanging="851"/>
        <w:rPr>
          <w:rFonts w:asciiTheme="majorHAnsi" w:hAnsiTheme="majorHAnsi" w:cstheme="majorHAnsi"/>
        </w:rPr>
      </w:pPr>
      <w:r w:rsidRPr="00EA58AB">
        <w:rPr>
          <w:rFonts w:asciiTheme="majorHAnsi" w:hAnsiTheme="majorHAnsi" w:cstheme="majorHAnsi"/>
        </w:rPr>
        <w:t>10.</w:t>
      </w:r>
      <w:r w:rsidRPr="00EA58AB">
        <w:rPr>
          <w:rFonts w:asciiTheme="majorHAnsi" w:hAnsiTheme="majorHAnsi" w:cstheme="majorHAnsi"/>
        </w:rPr>
        <w:tab/>
        <w:t>Expressly preserve existing ESS interests issued before 1 July 2027 under the start-up concession, without requiring retrospective proof of innovation status.</w:t>
      </w:r>
    </w:p>
    <w:p w:rsidR="00EA58AB" w:rsidRPr="00EA58AB" w:rsidP="00247EFD" w14:paraId="0D80F64F" w14:textId="77777777">
      <w:pPr>
        <w:ind w:left="1702" w:hanging="851"/>
        <w:rPr>
          <w:rFonts w:asciiTheme="majorHAnsi" w:hAnsiTheme="majorHAnsi" w:cstheme="majorHAnsi"/>
        </w:rPr>
      </w:pPr>
      <w:r w:rsidRPr="00EA58AB">
        <w:rPr>
          <w:rFonts w:asciiTheme="majorHAnsi" w:hAnsiTheme="majorHAnsi" w:cstheme="majorHAnsi"/>
        </w:rPr>
        <w:t>11.</w:t>
      </w:r>
      <w:r w:rsidRPr="00EA58AB">
        <w:rPr>
          <w:rFonts w:asciiTheme="majorHAnsi" w:hAnsiTheme="majorHAnsi" w:cstheme="majorHAnsi"/>
        </w:rPr>
        <w:tab/>
        <w:t>Test IBCC eligibility at grant (not exercise) for options and rights, so that employees are not penalised because the company subsequently grows beyond eligibility thresholds.</w:t>
      </w:r>
    </w:p>
    <w:p w:rsidR="00EA58AB" w:rsidRPr="00EA58AB" w:rsidP="00247EFD" w14:paraId="2775E9E7" w14:textId="77777777">
      <w:pPr>
        <w:ind w:left="1702" w:hanging="851"/>
        <w:rPr>
          <w:rFonts w:asciiTheme="majorHAnsi" w:hAnsiTheme="majorHAnsi" w:cstheme="majorHAnsi"/>
        </w:rPr>
      </w:pPr>
      <w:r w:rsidRPr="00EA58AB">
        <w:rPr>
          <w:rFonts w:asciiTheme="majorHAnsi" w:hAnsiTheme="majorHAnsi" w:cstheme="majorHAnsi"/>
        </w:rPr>
        <w:t>12.</w:t>
      </w:r>
      <w:r w:rsidRPr="00EA58AB">
        <w:rPr>
          <w:rFonts w:asciiTheme="majorHAnsi" w:hAnsiTheme="majorHAnsi" w:cstheme="majorHAnsi"/>
        </w:rPr>
        <w:tab/>
        <w:t>Reduce the holding period to three years for employees, aligned with the existing start-up concession, with carve-outs for events outside employees’ control.</w:t>
      </w:r>
    </w:p>
    <w:p w:rsidR="00EA58AB" w:rsidRPr="00EA58AB" w:rsidP="00247EFD" w14:paraId="719B008B" w14:textId="77777777">
      <w:pPr>
        <w:ind w:left="1702" w:hanging="851"/>
        <w:rPr>
          <w:rFonts w:asciiTheme="majorHAnsi" w:hAnsiTheme="majorHAnsi" w:cstheme="majorHAnsi"/>
        </w:rPr>
      </w:pPr>
      <w:r w:rsidRPr="00EA58AB">
        <w:rPr>
          <w:rFonts w:asciiTheme="majorHAnsi" w:hAnsiTheme="majorHAnsi" w:cstheme="majorHAnsi"/>
        </w:rPr>
        <w:t>13.</w:t>
      </w:r>
      <w:r w:rsidRPr="00EA58AB">
        <w:rPr>
          <w:rFonts w:asciiTheme="majorHAnsi" w:hAnsiTheme="majorHAnsi" w:cstheme="majorHAnsi"/>
        </w:rPr>
        <w:tab/>
        <w:t>Provide continuity rules so that Division 615 restructures and Subdivision 124-M scrip-for-scrip rollovers preserve IBCC status and do not reset holding periods.</w:t>
      </w:r>
    </w:p>
    <w:p w:rsidR="00EA58AB" w:rsidRPr="00EA58AB" w:rsidP="00247EFD" w14:paraId="6270D0D6" w14:textId="77777777">
      <w:pPr>
        <w:ind w:left="1702" w:hanging="851"/>
        <w:rPr>
          <w:rFonts w:asciiTheme="majorHAnsi" w:hAnsiTheme="majorHAnsi" w:cstheme="majorHAnsi"/>
        </w:rPr>
      </w:pPr>
      <w:r w:rsidRPr="00EA58AB">
        <w:rPr>
          <w:rFonts w:asciiTheme="majorHAnsi" w:hAnsiTheme="majorHAnsi" w:cstheme="majorHAnsi"/>
        </w:rPr>
        <w:t>14.</w:t>
      </w:r>
      <w:r w:rsidRPr="00EA58AB">
        <w:rPr>
          <w:rFonts w:asciiTheme="majorHAnsi" w:hAnsiTheme="majorHAnsi" w:cstheme="majorHAnsi"/>
        </w:rPr>
        <w:tab/>
        <w:t>Reconsider the $10 million lifetime cap, including a per-company cap, indexation, tapering, and separate treatment for employees versus investors.</w:t>
      </w:r>
    </w:p>
    <w:p w:rsidR="00EA58AB" w:rsidRPr="00EA58AB" w:rsidP="00247EFD" w14:paraId="1D089F66" w14:textId="77777777">
      <w:pPr>
        <w:ind w:left="1702" w:hanging="851"/>
        <w:rPr>
          <w:rFonts w:asciiTheme="majorHAnsi" w:hAnsiTheme="majorHAnsi" w:cstheme="majorHAnsi"/>
        </w:rPr>
      </w:pPr>
      <w:r w:rsidRPr="00EA58AB">
        <w:rPr>
          <w:rFonts w:asciiTheme="majorHAnsi" w:hAnsiTheme="majorHAnsi" w:cstheme="majorHAnsi"/>
        </w:rPr>
        <w:t>15.</w:t>
      </w:r>
      <w:r w:rsidRPr="00EA58AB">
        <w:rPr>
          <w:rFonts w:asciiTheme="majorHAnsi" w:hAnsiTheme="majorHAnsi" w:cstheme="majorHAnsi"/>
        </w:rPr>
        <w:tab/>
        <w:t>Expressly exclude employee share trusts and genuine employee ownership trusts from any future trust minimum tax.</w:t>
      </w:r>
    </w:p>
    <w:p w:rsidR="00EA58AB" w:rsidRPr="00EA58AB" w:rsidP="00247EFD" w14:paraId="6ED7D6FB" w14:textId="77777777">
      <w:pPr>
        <w:ind w:left="1702" w:hanging="851"/>
        <w:rPr>
          <w:rFonts w:asciiTheme="majorHAnsi" w:hAnsiTheme="majorHAnsi" w:cstheme="majorHAnsi"/>
        </w:rPr>
      </w:pPr>
      <w:r w:rsidRPr="00EA58AB">
        <w:rPr>
          <w:rFonts w:asciiTheme="majorHAnsi" w:hAnsiTheme="majorHAnsi" w:cstheme="majorHAnsi"/>
        </w:rPr>
        <w:t>16.</w:t>
      </w:r>
      <w:r w:rsidRPr="00EA58AB">
        <w:rPr>
          <w:rFonts w:asciiTheme="majorHAnsi" w:hAnsiTheme="majorHAnsi" w:cstheme="majorHAnsi"/>
        </w:rPr>
        <w:tab/>
        <w:t>Commit to targeted, ongoing consultation with Employee Ownership Australia and other employee ownership stakeholders before finalising ESS-related settings.</w:t>
      </w:r>
    </w:p>
    <w:p w:rsidR="00EA58AB" w:rsidRPr="00EA58AB" w:rsidP="004C3581" w14:paraId="695F4D99" w14:textId="507C173B">
      <w:pPr>
        <w:pStyle w:val="Heading1"/>
        <w:ind w:hanging="849"/>
        <w:rPr>
          <w:rFonts w:asciiTheme="majorHAnsi" w:hAnsiTheme="majorHAnsi" w:cstheme="majorHAnsi"/>
        </w:rPr>
      </w:pPr>
      <w:r w:rsidRPr="00EA58AB">
        <w:rPr>
          <w:rFonts w:asciiTheme="majorHAnsi" w:hAnsiTheme="majorHAnsi" w:cstheme="majorHAnsi"/>
        </w:rPr>
        <w:t>Conclusion</w:t>
      </w:r>
    </w:p>
    <w:p w:rsidR="00EA58AB" w:rsidRPr="005D282D" w:rsidP="00EA58AB" w14:paraId="0830CE83" w14:textId="77777777">
      <w:pPr>
        <w:ind w:left="851"/>
        <w:rPr>
          <w:rFonts w:asciiTheme="majorHAnsi" w:hAnsiTheme="majorHAnsi" w:cstheme="majorHAnsi"/>
          <w:b/>
          <w:bCs/>
          <w:u w:val="single"/>
        </w:rPr>
      </w:pPr>
      <w:r w:rsidRPr="005D282D">
        <w:rPr>
          <w:rFonts w:asciiTheme="majorHAnsi" w:hAnsiTheme="majorHAnsi" w:cstheme="majorHAnsi"/>
          <w:b/>
          <w:bCs/>
          <w:u w:val="single"/>
        </w:rPr>
        <w:t>The IBCC Is a Necessary but Incomplete Measure</w:t>
      </w:r>
    </w:p>
    <w:p w:rsidR="00EA58AB" w:rsidRPr="00EA58AB" w:rsidP="00EA58AB" w14:paraId="536F2898" w14:textId="77777777">
      <w:pPr>
        <w:ind w:left="851"/>
        <w:rPr>
          <w:rFonts w:asciiTheme="majorHAnsi" w:hAnsiTheme="majorHAnsi" w:cstheme="majorHAnsi"/>
        </w:rPr>
      </w:pPr>
      <w:r w:rsidRPr="00EA58AB">
        <w:rPr>
          <w:rFonts w:asciiTheme="majorHAnsi" w:hAnsiTheme="majorHAnsi" w:cstheme="majorHAnsi"/>
        </w:rPr>
        <w:t>Employee Ownership Australia welcomes the IBCC as a constructive step towards preserving meaningful tax support for innovation. However, the concession as presently framed does not adequately accommodate the realities of employee share schemes, employee share trusts, or the multi-event architecture of the existing ESS rules.</w:t>
      </w:r>
    </w:p>
    <w:p w:rsidR="00EA58AB" w:rsidRPr="00EA58AB" w:rsidP="00EA58AB" w14:paraId="6A75211D" w14:textId="35D9C859">
      <w:pPr>
        <w:ind w:left="851"/>
        <w:rPr>
          <w:rFonts w:asciiTheme="majorHAnsi" w:hAnsiTheme="majorHAnsi" w:cstheme="majorHAnsi"/>
        </w:rPr>
      </w:pPr>
      <w:r w:rsidRPr="00EA58AB">
        <w:rPr>
          <w:rFonts w:asciiTheme="majorHAnsi" w:hAnsiTheme="majorHAnsi" w:cstheme="majorHAnsi"/>
        </w:rPr>
        <w:t>Employee Ownership Australia respectfully but firmly urges Treasury to give priority</w:t>
      </w:r>
      <w:r>
        <w:rPr>
          <w:rFonts w:asciiTheme="majorHAnsi" w:hAnsiTheme="majorHAnsi" w:cstheme="majorHAnsi"/>
        </w:rPr>
        <w:t xml:space="preserve"> to </w:t>
      </w:r>
      <w:r w:rsidRPr="00EA58AB">
        <w:rPr>
          <w:rFonts w:asciiTheme="majorHAnsi" w:hAnsiTheme="majorHAnsi" w:cstheme="majorHAnsi"/>
        </w:rPr>
        <w:t>retain</w:t>
      </w:r>
      <w:r>
        <w:rPr>
          <w:rFonts w:asciiTheme="majorHAnsi" w:hAnsiTheme="majorHAnsi" w:cstheme="majorHAnsi"/>
        </w:rPr>
        <w:t>ing</w:t>
      </w:r>
      <w:r w:rsidRPr="00EA58AB">
        <w:rPr>
          <w:rFonts w:asciiTheme="majorHAnsi" w:hAnsiTheme="majorHAnsi" w:cstheme="majorHAnsi"/>
        </w:rPr>
        <w:t xml:space="preserve"> the existing start-up employee share scheme concession as a standalone regime or, at minimum, to fully grandfather all existing interests. This is the single most consequential design choice for the future of employee ownership in Australia’s innovation economy.</w:t>
      </w:r>
    </w:p>
    <w:p w:rsidR="00EA58AB" w:rsidRPr="00EA58AB" w:rsidP="00EA58AB" w14:paraId="2A8443D5" w14:textId="77777777">
      <w:pPr>
        <w:ind w:left="851"/>
        <w:rPr>
          <w:rFonts w:asciiTheme="majorHAnsi" w:hAnsiTheme="majorHAnsi" w:cstheme="majorHAnsi"/>
        </w:rPr>
      </w:pPr>
      <w:r w:rsidRPr="00EA58AB">
        <w:rPr>
          <w:rFonts w:asciiTheme="majorHAnsi" w:hAnsiTheme="majorHAnsi" w:cstheme="majorHAnsi"/>
        </w:rPr>
        <w:t>The recommendations in this submission are directed at ensuring that the IBCC achieves its stated policy objective: supporting innovation, entrepreneurship and employee ownership. Without amendment, the concession risks delivering its benefits primarily to founders and external investors while leaving employees — who bear genuine risk and are essential to building innovative businesses — without meaningful tax recognition.</w:t>
      </w:r>
    </w:p>
    <w:p w:rsidR="00EA58AB" w:rsidRPr="00EA58AB" w:rsidP="00EA58AB" w14:paraId="2F2B043E" w14:textId="77777777">
      <w:pPr>
        <w:ind w:left="851"/>
        <w:rPr>
          <w:rFonts w:asciiTheme="majorHAnsi" w:hAnsiTheme="majorHAnsi" w:cstheme="majorHAnsi"/>
        </w:rPr>
      </w:pPr>
      <w:r w:rsidRPr="00EA58AB">
        <w:rPr>
          <w:rFonts w:asciiTheme="majorHAnsi" w:hAnsiTheme="majorHAnsi" w:cstheme="majorHAnsi"/>
        </w:rPr>
        <w:t>Employee Ownership Australia stands ready to assist Treasury with further consultation on these matters and would welcome the opportunity to provide additional technical input as the legislation is developed.</w:t>
      </w:r>
    </w:p>
    <w:p w:rsidR="00EA58AB" w:rsidRPr="00EA58AB" w:rsidP="00543DCD" w14:paraId="204E8B67" w14:textId="6FD91AE0">
      <w:pPr>
        <w:keepNext/>
        <w:keepLines/>
        <w:ind w:left="851"/>
        <w:rPr>
          <w:rFonts w:asciiTheme="majorHAnsi" w:hAnsiTheme="majorHAnsi" w:cstheme="majorHAnsi"/>
        </w:rPr>
      </w:pPr>
      <w:r w:rsidRPr="00EA58AB">
        <w:rPr>
          <w:rFonts w:asciiTheme="majorHAnsi" w:hAnsiTheme="majorHAnsi" w:cstheme="majorHAnsi"/>
        </w:rPr>
        <w:t>Given the breadth and complexity of the issues raised, Employee Ownership Australia respectfully requests that Treasury allow adequate time for further stakeholder engagement on ESS-related aspects of the IBCC before finalising the legislation.</w:t>
      </w:r>
    </w:p>
    <w:p w:rsidR="004508A0" w:rsidP="004508A0" w14:paraId="231C8E8A" w14:textId="77777777">
      <w:pPr>
        <w:rPr>
          <w:rFonts w:asciiTheme="majorHAnsi" w:hAnsiTheme="majorHAnsi" w:cstheme="majorHAnsi"/>
        </w:rPr>
      </w:pPr>
    </w:p>
    <w:p w:rsidR="004508A0" w:rsidRPr="004508A0" w:rsidP="004508A0" w14:paraId="35C25625" w14:textId="329BEE95">
      <w:pPr>
        <w:rPr>
          <w:rFonts w:asciiTheme="majorHAnsi" w:hAnsiTheme="majorHAnsi" w:cstheme="majorHAnsi"/>
        </w:rPr>
      </w:pPr>
      <w:r w:rsidRPr="004508A0">
        <w:rPr>
          <w:rFonts w:asciiTheme="majorHAnsi" w:hAnsiTheme="majorHAnsi" w:cstheme="majorHAnsi"/>
        </w:rPr>
        <w:t>Yours faithfully,</w:t>
      </w:r>
    </w:p>
    <w:p w:rsidR="004508A0" w:rsidRPr="004508A0" w:rsidP="004508A0" w14:paraId="7B6F9484" w14:textId="58A662A2">
      <w:pPr>
        <w:rPr>
          <w:rFonts w:asciiTheme="majorHAnsi" w:hAnsiTheme="majorHAnsi" w:cstheme="majorHAnsi"/>
        </w:rPr>
      </w:pPr>
      <w:r>
        <w:rPr>
          <w:rFonts w:asciiTheme="majorHAnsi" w:hAnsiTheme="majorHAnsi" w:cstheme="majorHAnsi"/>
        </w:rPr>
        <w:br/>
      </w:r>
    </w:p>
    <w:p w:rsidR="004508A0" w:rsidRPr="004508A0" w:rsidP="004508A0" w14:paraId="618CD3EF" w14:textId="2D84BF29">
      <w:pPr>
        <w:rPr>
          <w:rFonts w:asciiTheme="majorHAnsi" w:hAnsiTheme="majorHAnsi" w:cstheme="majorHAnsi"/>
        </w:rPr>
      </w:pPr>
      <w:r w:rsidRPr="004508A0">
        <w:rPr>
          <w:rFonts w:asciiTheme="majorHAnsi" w:hAnsiTheme="majorHAnsi" w:cstheme="majorHAnsi"/>
        </w:rPr>
        <w:t>Andrew Clements</w:t>
      </w:r>
      <w:r>
        <w:rPr>
          <w:rFonts w:asciiTheme="majorHAnsi" w:hAnsiTheme="majorHAnsi" w:cstheme="majorHAnsi"/>
        </w:rPr>
        <w:br/>
      </w:r>
      <w:r w:rsidRPr="004508A0">
        <w:rPr>
          <w:rFonts w:asciiTheme="majorHAnsi" w:hAnsiTheme="majorHAnsi" w:cstheme="majorHAnsi"/>
        </w:rPr>
        <w:t>Chair</w:t>
      </w:r>
      <w:r>
        <w:rPr>
          <w:rFonts w:asciiTheme="majorHAnsi" w:hAnsiTheme="majorHAnsi" w:cstheme="majorHAnsi"/>
        </w:rPr>
        <w:br/>
      </w:r>
      <w:r w:rsidRPr="004508A0">
        <w:rPr>
          <w:rFonts w:asciiTheme="majorHAnsi" w:hAnsiTheme="majorHAnsi" w:cstheme="majorHAnsi"/>
          <w:b/>
          <w:bCs/>
        </w:rPr>
        <w:t>Employee Ownership Australia</w:t>
      </w:r>
      <w:bookmarkEnd w:id="0"/>
    </w:p>
    <w:sectPr w:rsidSect="0039482D">
      <w:headerReference w:type="default" r:id="rId5"/>
      <w:footerReference w:type="default" r:id="rId6"/>
      <w:headerReference w:type="first" r:id="rId7"/>
      <w:footerReference w:type="first" r:id="rId8"/>
      <w:pgSz w:w="11906" w:h="16838" w:code="9"/>
      <w:pgMar w:top="567" w:right="1700" w:bottom="567" w:left="1418"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4F40" w:rsidP="008A7E17" w14:paraId="546CD83E" w14:textId="77777777">
    <w:pPr>
      <w:pStyle w:val="Footer3"/>
      <w:jc w:val="center"/>
    </w:pPr>
  </w:p>
  <w:p w:rsidR="002B7A90" w:rsidP="008A7E17" w14:paraId="57DB8957" w14:textId="41C2420E">
    <w:pPr>
      <w:pStyle w:val="Footer3"/>
      <w:jc w:val="center"/>
    </w:pPr>
    <w:r>
      <w:t xml:space="preserve">page </w:t>
    </w:r>
    <w:r>
      <w:fldChar w:fldCharType="begin"/>
    </w:r>
    <w:r>
      <w:instrText xml:space="preserve"> PAGE  \* Arabic </w:instrText>
    </w:r>
    <w:r>
      <w:fldChar w:fldCharType="separate"/>
    </w:r>
    <w:r>
      <w:t>14</w:t>
    </w:r>
    <w:r>
      <w:fldChar w:fldCharType="end"/>
    </w:r>
  </w:p>
  <w:p w:rsidR="002B7A90" w:rsidP="008A7E17" w14:paraId="1C30B110" w14:textId="77777777">
    <w:pPr>
      <w:pStyle w:val="Footer"/>
    </w:pPr>
  </w:p>
  <w:p w:rsidR="002B7A90" w:rsidP="008A7E17" w14:paraId="130580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6237" w:type="dxa"/>
      <w:tblInd w:w="-851" w:type="dxa"/>
      <w:tblCellMar>
        <w:left w:w="0" w:type="dxa"/>
        <w:right w:w="0" w:type="dxa"/>
      </w:tblCellMar>
      <w:tblLook w:val="01E0"/>
    </w:tblPr>
    <w:tblGrid>
      <w:gridCol w:w="5103"/>
      <w:gridCol w:w="1134"/>
    </w:tblGrid>
    <w:tr w14:paraId="79CD9F13" w14:textId="77777777" w:rsidTr="00B4343C">
      <w:tblPrEx>
        <w:tblW w:w="6237" w:type="dxa"/>
        <w:tblInd w:w="-851" w:type="dxa"/>
        <w:tblLook w:val="01E0"/>
      </w:tblPrEx>
      <w:trPr>
        <w:cantSplit/>
        <w:trHeight w:hRule="exact" w:val="1134"/>
      </w:trPr>
      <w:tc>
        <w:tcPr>
          <w:tcW w:w="5103" w:type="dxa"/>
          <w:vAlign w:val="bottom"/>
        </w:tcPr>
        <w:p w:rsidR="002B7A90" w14:paraId="6F67145F" w14:textId="77777777">
          <w:pPr>
            <w:pStyle w:val="Footer2"/>
          </w:pPr>
        </w:p>
      </w:tc>
      <w:tc>
        <w:tcPr>
          <w:tcW w:w="1134" w:type="dxa"/>
          <w:vAlign w:val="bottom"/>
        </w:tcPr>
        <w:p w:rsidR="00724F40" w14:paraId="2E8C8504" w14:textId="77777777">
          <w:pPr>
            <w:pStyle w:val="Footer3"/>
          </w:pPr>
        </w:p>
        <w:p w:rsidR="00724F40" w14:paraId="48DFAD11" w14:textId="77777777">
          <w:pPr>
            <w:pStyle w:val="Footer3"/>
          </w:pPr>
        </w:p>
        <w:p w:rsidR="00724F40" w14:paraId="238F0BBE" w14:textId="77777777">
          <w:pPr>
            <w:pStyle w:val="Footer3"/>
          </w:pPr>
        </w:p>
        <w:p w:rsidR="002B7A90" w14:paraId="60856DAE" w14:textId="47FF2DDB">
          <w:pPr>
            <w:pStyle w:val="Footer3"/>
          </w:pPr>
          <w:r>
            <w:t xml:space="preserve">page </w:t>
          </w:r>
          <w:r>
            <w:fldChar w:fldCharType="begin"/>
          </w:r>
          <w:r>
            <w:instrText xml:space="preserve"> PAGE  \* Arabic </w:instrText>
          </w:r>
          <w:r>
            <w:fldChar w:fldCharType="separate"/>
          </w:r>
          <w:r>
            <w:rPr>
              <w:rFonts w:ascii="Arial" w:eastAsia="Arial" w:hAnsi="Arial" w:cs="Arial"/>
              <w:sz w:val="16"/>
              <w:lang w:val="en-AU" w:eastAsia="en-AU" w:bidi="ar-SA"/>
            </w:rPr>
            <w:t>1</w:t>
          </w:r>
          <w:r>
            <w:fldChar w:fldCharType="end"/>
          </w:r>
        </w:p>
      </w:tc>
    </w:tr>
  </w:tbl>
  <w:p w:rsidR="002B7A90" w14:paraId="605C8733" w14:textId="77777777">
    <w:pPr>
      <w:pStyle w:val="HeaderFooterTex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E17" w:rsidP="00023E17" w14:paraId="3CEA0CE6" w14:textId="77777777">
    <w:r>
      <w:rPr>
        <w:b/>
        <w:noProof/>
        <w:sz w:val="16"/>
      </w:rPr>
      <w:drawing>
        <wp:anchor distT="0" distB="0" distL="0" distR="0" simplePos="0" relativeHeight="251659264" behindDoc="0" locked="0" layoutInCell="1" allowOverlap="1">
          <wp:simplePos x="0" y="0"/>
          <wp:positionH relativeFrom="page">
            <wp:posOffset>900430</wp:posOffset>
          </wp:positionH>
          <wp:positionV relativeFrom="paragraph">
            <wp:posOffset>-635</wp:posOffset>
          </wp:positionV>
          <wp:extent cx="4532590" cy="679382"/>
          <wp:effectExtent l="0" t="0" r="0" b="0"/>
          <wp:wrapNone/>
          <wp:docPr id="1247204343" name="Image 1"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1247204343" name="Image 1" descr="A close-up of a sign&#10;&#10;AI-generated content may be incorrect."/>
                  <pic:cNvPicPr/>
                </pic:nvPicPr>
                <pic:blipFill>
                  <a:blip xmlns:r="http://schemas.openxmlformats.org/officeDocument/2006/relationships" r:embed="rId1" cstate="print"/>
                  <a:stretch>
                    <a:fillRect/>
                  </a:stretch>
                </pic:blipFill>
                <pic:spPr>
                  <a:xfrm>
                    <a:off x="0" y="0"/>
                    <a:ext cx="4532590" cy="679382"/>
                  </a:xfrm>
                  <a:prstGeom prst="rect">
                    <a:avLst/>
                  </a:prstGeom>
                </pic:spPr>
              </pic:pic>
            </a:graphicData>
          </a:graphic>
          <wp14:sizeRelH relativeFrom="margin">
            <wp14:pctWidth>0</wp14:pctWidth>
          </wp14:sizeRelH>
        </wp:anchor>
      </w:drawing>
    </w:r>
  </w:p>
  <w:p w:rsidR="00023E17" w:rsidRPr="00023E17" w:rsidP="00023E17" w14:paraId="79FD9710" w14:textId="77777777">
    <w:pPr>
      <w:pStyle w:val="Header"/>
      <w:rPr>
        <w:b/>
        <w:bCs/>
      </w:rPr>
    </w:pPr>
    <w:r w:rsidRPr="00023E17">
      <w:rPr>
        <w:b/>
        <w:bCs/>
      </w:rPr>
      <w:t>Andrew Clements</w:t>
    </w:r>
  </w:p>
  <w:p w:rsidR="00023E17" w:rsidP="00023E17" w14:paraId="109933E8" w14:textId="77777777">
    <w:pPr>
      <w:pStyle w:val="Header"/>
    </w:pPr>
    <w:r>
      <w:t xml:space="preserve">Chair of Employee Ownership Australia </w:t>
    </w:r>
  </w:p>
  <w:p w:rsidR="00023E17" w:rsidP="00023E17" w14:paraId="6068FEC1" w14:textId="77777777">
    <w:pPr>
      <w:pStyle w:val="Header"/>
    </w:pPr>
    <w:r>
      <w:t>c/o Level 27, 447 Collins Street, Melbourne VIC 3000 Australia</w:t>
    </w:r>
  </w:p>
  <w:p w:rsidR="00023E17" w14:paraId="37022A26" w14:textId="77777777">
    <w:pPr>
      <w:pStyle w:val="Header"/>
    </w:pPr>
  </w:p>
  <w:p w:rsidR="00700E1C" w14:paraId="6917CD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BE9" w:rsidP="002B7A90" w14:paraId="29547134" w14:textId="08927B6F">
    <w:pPr>
      <w:pStyle w:val="Header"/>
    </w:pPr>
    <w:r>
      <w:rPr>
        <w:b/>
        <w:noProof/>
        <w:sz w:val="16"/>
      </w:rPr>
      <w:drawing>
        <wp:anchor distT="0" distB="0" distL="0" distR="0" simplePos="0" relativeHeight="251658240" behindDoc="0" locked="0" layoutInCell="1" allowOverlap="1">
          <wp:simplePos x="0" y="0"/>
          <wp:positionH relativeFrom="page">
            <wp:posOffset>1217930</wp:posOffset>
          </wp:positionH>
          <wp:positionV relativeFrom="paragraph">
            <wp:posOffset>10160</wp:posOffset>
          </wp:positionV>
          <wp:extent cx="4532590" cy="679382"/>
          <wp:effectExtent l="0" t="0" r="0" b="0"/>
          <wp:wrapNone/>
          <wp:docPr id="282169501" name="Image 1"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282169501" name="Image 1" descr="A close-up of a sign&#10;&#10;AI-generated content may be incorrect."/>
                  <pic:cNvPicPr/>
                </pic:nvPicPr>
                <pic:blipFill>
                  <a:blip xmlns:r="http://schemas.openxmlformats.org/officeDocument/2006/relationships" r:embed="rId1" cstate="print"/>
                  <a:stretch>
                    <a:fillRect/>
                  </a:stretch>
                </pic:blipFill>
                <pic:spPr>
                  <a:xfrm>
                    <a:off x="0" y="0"/>
                    <a:ext cx="4532590" cy="679382"/>
                  </a:xfrm>
                  <a:prstGeom prst="rect">
                    <a:avLst/>
                  </a:prstGeom>
                </pic:spPr>
              </pic:pic>
            </a:graphicData>
          </a:graphic>
          <wp14:sizeRelH relativeFrom="margin">
            <wp14:pctWidth>0</wp14:pctWidth>
          </wp14:sizeRelH>
        </wp:anchor>
      </w:drawing>
    </w:r>
  </w:p>
  <w:p w:rsidR="00D24867" w:rsidP="002B7A90" w14:paraId="76F7BEF9" w14:textId="77777777">
    <w:pPr>
      <w:pStyle w:val="Header"/>
    </w:pPr>
  </w:p>
  <w:p w:rsidR="00D24867" w:rsidP="002B7A90" w14:paraId="06ACDC6C" w14:textId="77777777">
    <w:pPr>
      <w:pStyle w:val="Header"/>
    </w:pPr>
  </w:p>
  <w:p w:rsidR="00D24867" w:rsidP="002B7A90" w14:paraId="3BF2A956" w14:textId="77777777">
    <w:pPr>
      <w:pStyle w:val="Header"/>
    </w:pPr>
  </w:p>
  <w:p w:rsidR="003F7BE9" w:rsidP="002B7A90" w14:paraId="2787ACC9" w14:textId="54AE0D61">
    <w:pPr>
      <w:pStyle w:val="Header"/>
    </w:pPr>
  </w:p>
  <w:p w:rsidR="003F7BE9" w:rsidP="002B7A90" w14:paraId="1AFC6D25" w14:textId="77777777">
    <w:pPr>
      <w:pStyle w:val="Header"/>
    </w:pPr>
  </w:p>
  <w:tbl>
    <w:tblPr>
      <w:tblStyle w:val="TableGrid"/>
      <w:tblW w:w="4136" w:type="dxa"/>
      <w:tblInd w:w="6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6"/>
    </w:tblGrid>
    <w:tr w14:paraId="3A3D934D" w14:textId="77777777" w:rsidTr="00D24867">
      <w:tblPrEx>
        <w:tblW w:w="4136" w:type="dxa"/>
        <w:tblInd w:w="6356" w:type="dxa"/>
        <w:tblLook w:val="04A0"/>
      </w:tblPrEx>
      <w:trPr>
        <w:trHeight w:val="1125"/>
      </w:trPr>
      <w:tc>
        <w:tcPr>
          <w:tcW w:w="4136" w:type="dxa"/>
        </w:tcPr>
        <w:p w:rsidR="00023E17" w:rsidRPr="00023E17" w:rsidP="00023E17" w14:paraId="60F3DAEA" w14:textId="6E3EDD87">
          <w:pPr>
            <w:pStyle w:val="Header"/>
            <w:rPr>
              <w:b/>
              <w:bCs/>
            </w:rPr>
          </w:pPr>
          <w:r w:rsidRPr="00023E17">
            <w:rPr>
              <w:b/>
              <w:bCs/>
            </w:rPr>
            <w:t>Andrew Clements</w:t>
          </w:r>
        </w:p>
        <w:p w:rsidR="00023E17" w:rsidP="00023E17" w14:paraId="06221EE0" w14:textId="4606F313">
          <w:pPr>
            <w:pStyle w:val="Header"/>
          </w:pPr>
          <w:r>
            <w:t xml:space="preserve">Co </w:t>
          </w:r>
          <w:r>
            <w:t>Chair</w:t>
          </w:r>
          <w:r>
            <w:t xml:space="preserve"> of Employee Ownership Australia </w:t>
          </w:r>
        </w:p>
        <w:p w:rsidR="00B812A4" w:rsidP="00023E17" w14:paraId="2EF69641" w14:textId="7D4C1C3A">
          <w:pPr>
            <w:pStyle w:val="Header"/>
          </w:pPr>
          <w:r>
            <w:t>Andrew.clements@employeeownership</w:t>
          </w:r>
          <w:r>
            <w:t>&gt;com.au-</w:t>
          </w:r>
        </w:p>
        <w:p w:rsidR="00023E17" w:rsidP="00023E17" w14:paraId="66071F03" w14:textId="77777777">
          <w:pPr>
            <w:pStyle w:val="Header"/>
          </w:pPr>
          <w:r>
            <w:t>c/o Level 27, 447 Collins Street, Melbourne VIC 3000 Australia</w:t>
          </w:r>
        </w:p>
      </w:tc>
    </w:tr>
  </w:tbl>
  <w:p w:rsidR="003F7BE9" w:rsidRPr="002B7A90" w:rsidP="002B7A90" w14:paraId="6748C9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 w15:restartNumberingAfterBreak="0">
    <w:nsid w:val="00932C0E"/>
    <w:multiLevelType w:val="singleLevel"/>
    <w:tmpl w:val="9D0EB800"/>
    <w:lvl w:ilvl="0">
      <w:start w:val="1"/>
      <w:numFmt w:val="bullet"/>
      <w:pStyle w:val="ListBullet3"/>
      <w:lvlText w:val=""/>
      <w:lvlJc w:val="left"/>
      <w:pPr>
        <w:tabs>
          <w:tab w:val="left" w:pos="3404"/>
        </w:tabs>
        <w:ind w:left="3404" w:hanging="851"/>
      </w:pPr>
      <w:rPr>
        <w:rFonts w:ascii="Symbol" w:hAnsi="Symbol" w:hint="default"/>
        <w:b w:val="0"/>
        <w:i w:val="0"/>
        <w:sz w:val="16"/>
        <w:szCs w:val="16"/>
      </w:rPr>
    </w:lvl>
  </w:abstractNum>
  <w:abstractNum w:abstractNumId="2" w15:restartNumberingAfterBreak="0">
    <w:nsid w:val="00C70D25"/>
    <w:multiLevelType w:val="singleLevel"/>
    <w:tmpl w:val="007289D6"/>
    <w:lvl w:ilvl="0">
      <w:start w:val="1"/>
      <w:numFmt w:val="decimal"/>
      <w:pStyle w:val="ListNumber3"/>
      <w:lvlText w:val="%1"/>
      <w:lvlJc w:val="left"/>
      <w:pPr>
        <w:tabs>
          <w:tab w:val="left" w:pos="3404"/>
        </w:tabs>
        <w:ind w:left="3404" w:hanging="851"/>
      </w:pPr>
      <w:rPr>
        <w:rFonts w:hint="default"/>
        <w:b w:val="0"/>
        <w:i w:val="0"/>
        <w:sz w:val="20"/>
      </w:rPr>
    </w:lvl>
  </w:abstractNum>
  <w:abstractNum w:abstractNumId="3" w15:restartNumberingAfterBreak="0">
    <w:nsid w:val="073E183D"/>
    <w:multiLevelType w:val="hybridMultilevel"/>
    <w:tmpl w:val="8D0A527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059" w:hanging="360"/>
      </w:pPr>
      <w:rPr>
        <w:rFonts w:ascii="Wingdings" w:hAnsi="Wingding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03E3F58"/>
    <w:multiLevelType w:val="singleLevel"/>
    <w:tmpl w:val="A27CE394"/>
    <w:lvl w:ilvl="0">
      <w:start w:val="1"/>
      <w:numFmt w:val="bullet"/>
      <w:pStyle w:val="ListBulletTable2"/>
      <w:lvlText w:val="·"/>
      <w:lvlJc w:val="left"/>
      <w:pPr>
        <w:tabs>
          <w:tab w:val="left" w:pos="284"/>
        </w:tabs>
        <w:ind w:left="284" w:hanging="284"/>
      </w:pPr>
      <w:rPr>
        <w:rFonts w:ascii="Symbol" w:hAnsi="Symbol" w:hint="default"/>
        <w:b w:val="0"/>
        <w:i w:val="0"/>
        <w:sz w:val="18"/>
        <w:szCs w:val="18"/>
      </w:rPr>
    </w:lvl>
  </w:abstractNum>
  <w:abstractNum w:abstractNumId="5" w15:restartNumberingAfterBreak="0">
    <w:nsid w:val="15157AA0"/>
    <w:multiLevelType w:val="singleLevel"/>
    <w:tmpl w:val="426C9C60"/>
    <w:lvl w:ilvl="0">
      <w:start w:val="1"/>
      <w:numFmt w:val="bullet"/>
      <w:pStyle w:val="ListBulletTableIndent"/>
      <w:lvlText w:val="–"/>
      <w:lvlJc w:val="left"/>
      <w:pPr>
        <w:tabs>
          <w:tab w:val="left" w:pos="568"/>
        </w:tabs>
        <w:ind w:left="568" w:hanging="284"/>
      </w:pPr>
      <w:rPr>
        <w:rFonts w:ascii="Arial" w:hAnsi="Arial" w:hint="default"/>
        <w:b w:val="0"/>
        <w:i w:val="0"/>
        <w:sz w:val="18"/>
        <w:szCs w:val="18"/>
      </w:rPr>
    </w:lvl>
  </w:abstractNum>
  <w:abstractNum w:abstractNumId="6" w15:restartNumberingAfterBreak="0">
    <w:nsid w:val="1B37355F"/>
    <w:multiLevelType w:val="singleLevel"/>
    <w:tmpl w:val="910C17B4"/>
    <w:lvl w:ilvl="0">
      <w:start w:val="1"/>
      <w:numFmt w:val="bullet"/>
      <w:pStyle w:val="ListBulletIndent"/>
      <w:lvlText w:val="‒"/>
      <w:lvlJc w:val="left"/>
      <w:pPr>
        <w:ind w:left="2059" w:hanging="360"/>
      </w:pPr>
      <w:rPr>
        <w:rFonts w:ascii="Arial" w:hAnsi="Arial" w:hint="default"/>
        <w:b w:val="0"/>
        <w:i w:val="0"/>
        <w:sz w:val="20"/>
        <w:szCs w:val="20"/>
      </w:rPr>
    </w:lvl>
  </w:abstractNum>
  <w:abstractNum w:abstractNumId="7" w15:restartNumberingAfterBreak="0">
    <w:nsid w:val="23CE5AA5"/>
    <w:multiLevelType w:val="singleLevel"/>
    <w:tmpl w:val="7102F8F2"/>
    <w:lvl w:ilvl="0">
      <w:start w:val="1"/>
      <w:numFmt w:val="decimal"/>
      <w:pStyle w:val="ListNumberTable"/>
      <w:lvlText w:val="%1"/>
      <w:lvlJc w:val="left"/>
      <w:pPr>
        <w:tabs>
          <w:tab w:val="left" w:pos="284"/>
        </w:tabs>
        <w:ind w:left="284" w:hanging="284"/>
      </w:pPr>
      <w:rPr>
        <w:rFonts w:hint="default"/>
        <w:b w:val="0"/>
        <w:i w:val="0"/>
        <w:sz w:val="18"/>
        <w:szCs w:val="18"/>
      </w:rPr>
    </w:lvl>
  </w:abstractNum>
  <w:abstractNum w:abstractNumId="8" w15:restartNumberingAfterBreak="0">
    <w:nsid w:val="28284407"/>
    <w:multiLevelType w:val="multilevel"/>
    <w:tmpl w:val="B454B06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pStyle w:val="Heading3"/>
      <w:lvlText w:val="(%3)"/>
      <w:lvlJc w:val="left"/>
      <w:pPr>
        <w:ind w:left="1701" w:hanging="850"/>
      </w:pPr>
      <w:rPr>
        <w:rFonts w:hint="default"/>
      </w:rPr>
    </w:lvl>
    <w:lvl w:ilvl="3">
      <w:start w:val="1"/>
      <w:numFmt w:val="lowerLetter"/>
      <w:pStyle w:val="Heading4"/>
      <w:lvlText w:val="%4)"/>
      <w:lvlJc w:val="left"/>
      <w:pPr>
        <w:tabs>
          <w:tab w:val="num" w:pos="1701"/>
        </w:tabs>
        <w:ind w:left="2552" w:hanging="851"/>
      </w:pPr>
      <w:rPr>
        <w:rFonts w:hint="default"/>
      </w:rPr>
    </w:lvl>
    <w:lvl w:ilvl="4">
      <w:start w:val="1"/>
      <w:numFmt w:val="upperLetter"/>
      <w:pStyle w:val="Heading5"/>
      <w:lvlText w:val="(%5)"/>
      <w:lvlJc w:val="left"/>
      <w:pPr>
        <w:tabs>
          <w:tab w:val="num" w:pos="2552"/>
        </w:tabs>
        <w:ind w:left="3402" w:hanging="850"/>
      </w:pPr>
      <w:rPr>
        <w:rFonts w:ascii="Arial" w:hAnsi="Arial" w:hint="default"/>
        <w:b w:val="0"/>
        <w:i w:val="0"/>
        <w:vanish w:val="0"/>
        <w:sz w:val="20"/>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9" w15:restartNumberingAfterBreak="0">
    <w:nsid w:val="3C210656"/>
    <w:multiLevelType w:val="singleLevel"/>
    <w:tmpl w:val="5DEE09F4"/>
    <w:lvl w:ilvl="0">
      <w:start w:val="1"/>
      <w:numFmt w:val="bullet"/>
      <w:pStyle w:val="ListBulletDisclaimer"/>
      <w:lvlText w:val=""/>
      <w:lvlJc w:val="left"/>
      <w:pPr>
        <w:ind w:left="360" w:hanging="360"/>
      </w:pPr>
      <w:rPr>
        <w:rFonts w:ascii="Symbol" w:hAnsi="Symbol" w:hint="default"/>
        <w:b w:val="0"/>
        <w:i w:val="0"/>
        <w:sz w:val="16"/>
        <w:szCs w:val="16"/>
      </w:rPr>
    </w:lvl>
  </w:abstractNum>
  <w:abstractNum w:abstractNumId="10" w15:restartNumberingAfterBreak="0">
    <w:nsid w:val="3F5E2BAE"/>
    <w:multiLevelType w:val="singleLevel"/>
    <w:tmpl w:val="B90EE1A2"/>
    <w:lvl w:ilvl="0">
      <w:start w:val="1"/>
      <w:numFmt w:val="bullet"/>
      <w:pStyle w:val="ListBulletTableIndent2"/>
      <w:lvlText w:val="–"/>
      <w:lvlJc w:val="left"/>
      <w:pPr>
        <w:tabs>
          <w:tab w:val="left" w:pos="568"/>
        </w:tabs>
        <w:ind w:left="568" w:hanging="284"/>
      </w:pPr>
      <w:rPr>
        <w:rFonts w:ascii="Arial" w:hAnsi="Arial" w:hint="default"/>
        <w:b w:val="0"/>
        <w:i w:val="0"/>
        <w:sz w:val="18"/>
        <w:szCs w:val="18"/>
      </w:rPr>
    </w:lvl>
  </w:abstractNum>
  <w:abstractNum w:abstractNumId="11" w15:restartNumberingAfterBreak="0">
    <w:nsid w:val="44C8603A"/>
    <w:multiLevelType w:val="singleLevel"/>
    <w:tmpl w:val="2ADA7B0C"/>
    <w:lvl w:ilvl="0">
      <w:start w:val="1"/>
      <w:numFmt w:val="decimal"/>
      <w:pStyle w:val="ListNumber"/>
      <w:lvlText w:val="%1"/>
      <w:lvlJc w:val="left"/>
      <w:pPr>
        <w:tabs>
          <w:tab w:val="left" w:pos="1702"/>
        </w:tabs>
        <w:ind w:left="1702" w:hanging="851"/>
      </w:pPr>
      <w:rPr>
        <w:rFonts w:hint="default"/>
        <w:b w:val="0"/>
        <w:i w:val="0"/>
        <w:sz w:val="20"/>
      </w:rPr>
    </w:lvl>
  </w:abstractNum>
  <w:abstractNum w:abstractNumId="12"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13" w15:restartNumberingAfterBreak="0">
    <w:nsid w:val="4B1D5761"/>
    <w:multiLevelType w:val="singleLevel"/>
    <w:tmpl w:val="BE9E37EE"/>
    <w:lvl w:ilvl="0">
      <w:start w:val="1"/>
      <w:numFmt w:val="bullet"/>
      <w:pStyle w:val="ListBullet2"/>
      <w:lvlText w:val=""/>
      <w:lvlJc w:val="left"/>
      <w:pPr>
        <w:tabs>
          <w:tab w:val="left" w:pos="2553"/>
        </w:tabs>
        <w:ind w:left="2553" w:hanging="851"/>
      </w:pPr>
      <w:rPr>
        <w:rFonts w:ascii="Symbol" w:hAnsi="Symbol" w:hint="default"/>
        <w:b w:val="0"/>
        <w:i w:val="0"/>
        <w:sz w:val="16"/>
        <w:szCs w:val="16"/>
      </w:rPr>
    </w:lvl>
  </w:abstractNum>
  <w:abstractNum w:abstractNumId="14" w15:restartNumberingAfterBreak="0">
    <w:nsid w:val="5DA00D99"/>
    <w:multiLevelType w:val="hybridMultilevel"/>
    <w:tmpl w:val="1BB693CE"/>
    <w:lvl w:ilvl="0">
      <w:start w:val="1"/>
      <w:numFmt w:val="bullet"/>
      <w:pStyle w:val="Bullets"/>
      <w:lvlText w:val="▪"/>
      <w:lvlJc w:val="left"/>
      <w:pPr>
        <w:ind w:left="1418" w:hanging="567"/>
      </w:pPr>
      <w:rPr>
        <w:rFonts w:ascii="Arial" w:hAnsi="Arial" w:cs="Times New Roman" w:hint="default"/>
        <w:color w:val="000000" w:themeColor="text1"/>
        <w:sz w:val="24"/>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64FF4C76"/>
    <w:multiLevelType w:val="singleLevel"/>
    <w:tmpl w:val="0156B414"/>
    <w:lvl w:ilvl="0">
      <w:start w:val="1"/>
      <w:numFmt w:val="decimal"/>
      <w:pStyle w:val="ListNumber2"/>
      <w:lvlText w:val="%1"/>
      <w:lvlJc w:val="left"/>
      <w:pPr>
        <w:tabs>
          <w:tab w:val="left" w:pos="2553"/>
        </w:tabs>
        <w:ind w:left="2553" w:hanging="851"/>
      </w:pPr>
      <w:rPr>
        <w:rFonts w:hint="default"/>
        <w:b w:val="0"/>
        <w:i w:val="0"/>
        <w:sz w:val="20"/>
      </w:rPr>
    </w:lvl>
  </w:abstractNum>
  <w:abstractNum w:abstractNumId="16" w15:restartNumberingAfterBreak="0">
    <w:nsid w:val="67840C5B"/>
    <w:multiLevelType w:val="multilevel"/>
    <w:tmpl w:val="7E809B24"/>
    <w:name w:val="w10NumberingNoTOCHdg"/>
    <w:lvl w:ilvl="0">
      <w:start w:val="1"/>
      <w:numFmt w:val="decimal"/>
      <w:pStyle w:val="NoTOCHdg1"/>
      <w:lvlText w:val="%1"/>
      <w:lvlJc w:val="left"/>
      <w:pPr>
        <w:ind w:left="851" w:hanging="851"/>
      </w:pPr>
      <w:rPr>
        <w:rFonts w:hint="default"/>
      </w:rPr>
    </w:lvl>
    <w:lvl w:ilvl="1">
      <w:start w:val="1"/>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17" w15:restartNumberingAfterBreak="0">
    <w:nsid w:val="67D80C80"/>
    <w:multiLevelType w:val="multilevel"/>
    <w:tmpl w:val="2C2C1BD6"/>
    <w:lvl w:ilvl="0">
      <w:start w:val="1"/>
      <w:numFmt w:val="decimal"/>
      <w:pStyle w:val="Heading1"/>
      <w:lvlText w:val="%1"/>
      <w:lvlJc w:val="left"/>
      <w:pPr>
        <w:ind w:left="849" w:hanging="567"/>
      </w:pPr>
      <w:rPr>
        <w:lang w:bidi="ar-SA"/>
      </w:rPr>
    </w:lvl>
    <w:lvl w:ilvl="1">
      <w:start w:val="1"/>
      <w:numFmt w:val="decimal"/>
      <w:lvlText w:val="%1.%2"/>
      <w:lvlJc w:val="left"/>
      <w:pPr>
        <w:ind w:left="849" w:hanging="567"/>
      </w:pPr>
      <w:rPr>
        <w:lang w:bidi="ar-SA"/>
      </w:rPr>
    </w:lvl>
    <w:lvl w:ilvl="2">
      <w:start w:val="1"/>
      <w:numFmt w:val="lowerLetter"/>
      <w:lvlText w:val="(%3)"/>
      <w:lvlJc w:val="left"/>
      <w:pPr>
        <w:ind w:left="1416" w:hanging="567"/>
      </w:pPr>
      <w:rPr>
        <w:rFonts w:ascii="Trebuchet MS" w:eastAsia="Trebuchet MS" w:hAnsi="Trebuchet MS" w:cs="Trebuchet MS" w:hint="default"/>
        <w:b w:val="0"/>
        <w:bCs w:val="0"/>
        <w:i w:val="0"/>
        <w:iCs w:val="0"/>
        <w:spacing w:val="0"/>
        <w:w w:val="99"/>
        <w:sz w:val="20"/>
        <w:szCs w:val="20"/>
        <w:lang w:val="en-US" w:eastAsia="en-US" w:bidi="ar-SA"/>
      </w:rPr>
    </w:lvl>
    <w:lvl w:ilvl="3">
      <w:start w:val="0"/>
      <w:numFmt w:val="bullet"/>
      <w:lvlText w:val="•"/>
      <w:lvlJc w:val="left"/>
      <w:pPr>
        <w:ind w:left="3340" w:hanging="567"/>
      </w:pPr>
      <w:rPr>
        <w:rFonts w:hint="default"/>
        <w:lang w:val="en-US" w:eastAsia="en-US" w:bidi="ar-SA"/>
      </w:rPr>
    </w:lvl>
    <w:lvl w:ilvl="4">
      <w:start w:val="0"/>
      <w:numFmt w:val="bullet"/>
      <w:lvlText w:val="•"/>
      <w:lvlJc w:val="left"/>
      <w:pPr>
        <w:ind w:left="4301" w:hanging="567"/>
      </w:pPr>
      <w:rPr>
        <w:rFonts w:hint="default"/>
        <w:lang w:val="en-US" w:eastAsia="en-US" w:bidi="ar-SA"/>
      </w:rPr>
    </w:lvl>
    <w:lvl w:ilvl="5">
      <w:start w:val="0"/>
      <w:numFmt w:val="bullet"/>
      <w:lvlText w:val="•"/>
      <w:lvlJc w:val="left"/>
      <w:pPr>
        <w:ind w:left="5261" w:hanging="567"/>
      </w:pPr>
      <w:rPr>
        <w:rFonts w:hint="default"/>
        <w:lang w:val="en-US" w:eastAsia="en-US" w:bidi="ar-SA"/>
      </w:rPr>
    </w:lvl>
    <w:lvl w:ilvl="6">
      <w:start w:val="0"/>
      <w:numFmt w:val="bullet"/>
      <w:lvlText w:val="•"/>
      <w:lvlJc w:val="left"/>
      <w:pPr>
        <w:ind w:left="6222" w:hanging="567"/>
      </w:pPr>
      <w:rPr>
        <w:rFonts w:hint="default"/>
        <w:lang w:val="en-US" w:eastAsia="en-US" w:bidi="ar-SA"/>
      </w:rPr>
    </w:lvl>
    <w:lvl w:ilvl="7">
      <w:start w:val="0"/>
      <w:numFmt w:val="bullet"/>
      <w:lvlText w:val="•"/>
      <w:lvlJc w:val="left"/>
      <w:pPr>
        <w:ind w:left="7182" w:hanging="567"/>
      </w:pPr>
      <w:rPr>
        <w:rFonts w:hint="default"/>
        <w:lang w:val="en-US" w:eastAsia="en-US" w:bidi="ar-SA"/>
      </w:rPr>
    </w:lvl>
    <w:lvl w:ilvl="8">
      <w:start w:val="0"/>
      <w:numFmt w:val="bullet"/>
      <w:lvlText w:val="•"/>
      <w:lvlJc w:val="left"/>
      <w:pPr>
        <w:ind w:left="8143" w:hanging="567"/>
      </w:pPr>
      <w:rPr>
        <w:rFonts w:hint="default"/>
        <w:lang w:val="en-US" w:eastAsia="en-US" w:bidi="ar-SA"/>
      </w:rPr>
    </w:lvl>
  </w:abstractNum>
  <w:abstractNum w:abstractNumId="18" w15:restartNumberingAfterBreak="0">
    <w:nsid w:val="793D7949"/>
    <w:multiLevelType w:val="singleLevel"/>
    <w:tmpl w:val="6BDE8E74"/>
    <w:lvl w:ilvl="0">
      <w:start w:val="1"/>
      <w:numFmt w:val="bullet"/>
      <w:pStyle w:val="ListBullet"/>
      <w:lvlText w:val=""/>
      <w:lvlJc w:val="left"/>
      <w:pPr>
        <w:tabs>
          <w:tab w:val="left" w:pos="1702"/>
        </w:tabs>
        <w:ind w:left="1702" w:hanging="851"/>
      </w:pPr>
      <w:rPr>
        <w:rFonts w:ascii="Symbol" w:hAnsi="Symbol" w:hint="default"/>
        <w:b w:val="0"/>
        <w:i w:val="0"/>
        <w:sz w:val="16"/>
        <w:szCs w:val="16"/>
      </w:rPr>
    </w:lvl>
  </w:abstractNum>
  <w:abstractNum w:abstractNumId="19" w15:restartNumberingAfterBreak="0">
    <w:nsid w:val="7D78432D"/>
    <w:multiLevelType w:val="hybridMultilevel"/>
    <w:tmpl w:val="5FDCD04E"/>
    <w:lvl w:ilvl="0">
      <w:start w:val="1"/>
      <w:numFmt w:val="lowerLetter"/>
      <w:pStyle w:val="Heading2"/>
      <w:lvlText w:val="(%1)"/>
      <w:lvlJc w:val="left"/>
      <w:pPr>
        <w:ind w:left="1416" w:hanging="567"/>
      </w:pPr>
      <w:rPr>
        <w:rFonts w:ascii="Trebuchet MS" w:eastAsia="Trebuchet MS" w:hAnsi="Trebuchet MS" w:cs="Trebuchet MS" w:hint="default"/>
        <w:b w:val="0"/>
        <w:bCs w:val="0"/>
        <w:i w:val="0"/>
        <w:iCs w:val="0"/>
        <w:spacing w:val="0"/>
        <w:w w:val="99"/>
        <w:sz w:val="20"/>
        <w:szCs w:val="20"/>
        <w:lang w:val="en-US" w:eastAsia="en-US" w:bidi="ar-SA"/>
      </w:rPr>
    </w:lvl>
    <w:lvl w:ilvl="1">
      <w:start w:val="0"/>
      <w:numFmt w:val="bullet"/>
      <w:lvlText w:val="•"/>
      <w:lvlJc w:val="left"/>
      <w:pPr>
        <w:ind w:left="2284" w:hanging="567"/>
      </w:pPr>
      <w:rPr>
        <w:rFonts w:hint="default"/>
        <w:lang w:val="en-US" w:eastAsia="en-US" w:bidi="ar-SA"/>
      </w:rPr>
    </w:lvl>
    <w:lvl w:ilvl="2">
      <w:start w:val="0"/>
      <w:numFmt w:val="bullet"/>
      <w:lvlText w:val="•"/>
      <w:lvlJc w:val="left"/>
      <w:pPr>
        <w:ind w:left="3148" w:hanging="567"/>
      </w:pPr>
      <w:rPr>
        <w:rFonts w:hint="default"/>
        <w:lang w:val="en-US" w:eastAsia="en-US" w:bidi="ar-SA"/>
      </w:rPr>
    </w:lvl>
    <w:lvl w:ilvl="3">
      <w:start w:val="0"/>
      <w:numFmt w:val="bullet"/>
      <w:lvlText w:val="•"/>
      <w:lvlJc w:val="left"/>
      <w:pPr>
        <w:ind w:left="4013" w:hanging="567"/>
      </w:pPr>
      <w:rPr>
        <w:rFonts w:hint="default"/>
        <w:lang w:val="en-US" w:eastAsia="en-US" w:bidi="ar-SA"/>
      </w:rPr>
    </w:lvl>
    <w:lvl w:ilvl="4">
      <w:start w:val="0"/>
      <w:numFmt w:val="bullet"/>
      <w:lvlText w:val="•"/>
      <w:lvlJc w:val="left"/>
      <w:pPr>
        <w:ind w:left="4877" w:hanging="567"/>
      </w:pPr>
      <w:rPr>
        <w:rFonts w:hint="default"/>
        <w:lang w:val="en-US" w:eastAsia="en-US" w:bidi="ar-SA"/>
      </w:rPr>
    </w:lvl>
    <w:lvl w:ilvl="5">
      <w:start w:val="0"/>
      <w:numFmt w:val="bullet"/>
      <w:lvlText w:val="•"/>
      <w:lvlJc w:val="left"/>
      <w:pPr>
        <w:ind w:left="5742" w:hanging="567"/>
      </w:pPr>
      <w:rPr>
        <w:rFonts w:hint="default"/>
        <w:lang w:val="en-US" w:eastAsia="en-US" w:bidi="ar-SA"/>
      </w:rPr>
    </w:lvl>
    <w:lvl w:ilvl="6">
      <w:start w:val="0"/>
      <w:numFmt w:val="bullet"/>
      <w:lvlText w:val="•"/>
      <w:lvlJc w:val="left"/>
      <w:pPr>
        <w:ind w:left="6606" w:hanging="567"/>
      </w:pPr>
      <w:rPr>
        <w:rFonts w:hint="default"/>
        <w:lang w:val="en-US" w:eastAsia="en-US" w:bidi="ar-SA"/>
      </w:rPr>
    </w:lvl>
    <w:lvl w:ilvl="7">
      <w:start w:val="0"/>
      <w:numFmt w:val="bullet"/>
      <w:lvlText w:val="•"/>
      <w:lvlJc w:val="left"/>
      <w:pPr>
        <w:ind w:left="7471" w:hanging="567"/>
      </w:pPr>
      <w:rPr>
        <w:rFonts w:hint="default"/>
        <w:lang w:val="en-US" w:eastAsia="en-US" w:bidi="ar-SA"/>
      </w:rPr>
    </w:lvl>
    <w:lvl w:ilvl="8">
      <w:start w:val="0"/>
      <w:numFmt w:val="bullet"/>
      <w:lvlText w:val="•"/>
      <w:lvlJc w:val="left"/>
      <w:pPr>
        <w:ind w:left="8335" w:hanging="567"/>
      </w:pPr>
      <w:rPr>
        <w:rFonts w:hint="default"/>
        <w:lang w:val="en-US" w:eastAsia="en-US" w:bidi="ar-SA"/>
      </w:rPr>
    </w:lvl>
  </w:abstractNum>
  <w:num w:numId="1" w16cid:durableId="1898663384">
    <w:abstractNumId w:val="8"/>
  </w:num>
  <w:num w:numId="2" w16cid:durableId="691998973">
    <w:abstractNumId w:val="16"/>
  </w:num>
  <w:num w:numId="3" w16cid:durableId="1803689620">
    <w:abstractNumId w:val="11"/>
  </w:num>
  <w:num w:numId="4" w16cid:durableId="938564569">
    <w:abstractNumId w:val="15"/>
  </w:num>
  <w:num w:numId="5" w16cid:durableId="294335008">
    <w:abstractNumId w:val="2"/>
  </w:num>
  <w:num w:numId="6" w16cid:durableId="1681930360">
    <w:abstractNumId w:val="7"/>
  </w:num>
  <w:num w:numId="7" w16cid:durableId="1204292193">
    <w:abstractNumId w:val="18"/>
  </w:num>
  <w:num w:numId="8" w16cid:durableId="1516845457">
    <w:abstractNumId w:val="13"/>
  </w:num>
  <w:num w:numId="9" w16cid:durableId="1879657226">
    <w:abstractNumId w:val="1"/>
  </w:num>
  <w:num w:numId="10" w16cid:durableId="2141679286">
    <w:abstractNumId w:val="9"/>
  </w:num>
  <w:num w:numId="11" w16cid:durableId="2050297438">
    <w:abstractNumId w:val="6"/>
  </w:num>
  <w:num w:numId="12" w16cid:durableId="475532934">
    <w:abstractNumId w:val="0"/>
  </w:num>
  <w:num w:numId="13" w16cid:durableId="1778677702">
    <w:abstractNumId w:val="4"/>
  </w:num>
  <w:num w:numId="14" w16cid:durableId="494612243">
    <w:abstractNumId w:val="5"/>
  </w:num>
  <w:num w:numId="15" w16cid:durableId="1006251491">
    <w:abstractNumId w:val="10"/>
  </w:num>
  <w:num w:numId="16" w16cid:durableId="925308953">
    <w:abstractNumId w:val="12"/>
  </w:num>
  <w:num w:numId="17" w16cid:durableId="438570037">
    <w:abstractNumId w:val="14"/>
  </w:num>
  <w:num w:numId="18" w16cid:durableId="248539603">
    <w:abstractNumId w:val="19"/>
  </w:num>
  <w:num w:numId="19" w16cid:durableId="849567541">
    <w:abstractNumId w:val="17"/>
  </w:num>
  <w:num w:numId="20" w16cid:durableId="39859598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characterSpacingControl w:val="doNotCompress"/>
  <w:alwaysMergeEmptyNamespac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8B9"/>
    <w:rsid w:val="00001890"/>
    <w:rsid w:val="00005885"/>
    <w:rsid w:val="000071DB"/>
    <w:rsid w:val="000140D0"/>
    <w:rsid w:val="00023E17"/>
    <w:rsid w:val="000311CB"/>
    <w:rsid w:val="000339A6"/>
    <w:rsid w:val="000342CC"/>
    <w:rsid w:val="00035967"/>
    <w:rsid w:val="00036E3A"/>
    <w:rsid w:val="0004561B"/>
    <w:rsid w:val="00051631"/>
    <w:rsid w:val="000550D1"/>
    <w:rsid w:val="000569A3"/>
    <w:rsid w:val="00057278"/>
    <w:rsid w:val="000578B2"/>
    <w:rsid w:val="00072DFB"/>
    <w:rsid w:val="00072E3F"/>
    <w:rsid w:val="00072FE7"/>
    <w:rsid w:val="00073CBA"/>
    <w:rsid w:val="000740B1"/>
    <w:rsid w:val="00076C5F"/>
    <w:rsid w:val="00077B99"/>
    <w:rsid w:val="0008270A"/>
    <w:rsid w:val="000904D8"/>
    <w:rsid w:val="000969AB"/>
    <w:rsid w:val="00096B01"/>
    <w:rsid w:val="000B064C"/>
    <w:rsid w:val="000B4D97"/>
    <w:rsid w:val="000B7364"/>
    <w:rsid w:val="000C15CE"/>
    <w:rsid w:val="000C2264"/>
    <w:rsid w:val="000D0144"/>
    <w:rsid w:val="000D0C41"/>
    <w:rsid w:val="000D14B2"/>
    <w:rsid w:val="000D38FA"/>
    <w:rsid w:val="000D5477"/>
    <w:rsid w:val="000D6925"/>
    <w:rsid w:val="000E5BD0"/>
    <w:rsid w:val="000E5BDD"/>
    <w:rsid w:val="000E5EE5"/>
    <w:rsid w:val="000F07AB"/>
    <w:rsid w:val="000F3B53"/>
    <w:rsid w:val="00101550"/>
    <w:rsid w:val="001055C0"/>
    <w:rsid w:val="001132E8"/>
    <w:rsid w:val="00122D1B"/>
    <w:rsid w:val="001233B2"/>
    <w:rsid w:val="00146A4B"/>
    <w:rsid w:val="00152142"/>
    <w:rsid w:val="0015266C"/>
    <w:rsid w:val="00157380"/>
    <w:rsid w:val="00157AD0"/>
    <w:rsid w:val="0016049E"/>
    <w:rsid w:val="00161C99"/>
    <w:rsid w:val="0016641A"/>
    <w:rsid w:val="0017524F"/>
    <w:rsid w:val="0017707F"/>
    <w:rsid w:val="00197FAD"/>
    <w:rsid w:val="001A0445"/>
    <w:rsid w:val="001B10EB"/>
    <w:rsid w:val="001C0229"/>
    <w:rsid w:val="001D418B"/>
    <w:rsid w:val="001F3FF9"/>
    <w:rsid w:val="001F4FAB"/>
    <w:rsid w:val="001F634E"/>
    <w:rsid w:val="00201A84"/>
    <w:rsid w:val="00223C2A"/>
    <w:rsid w:val="00223C80"/>
    <w:rsid w:val="00225DE2"/>
    <w:rsid w:val="0022742E"/>
    <w:rsid w:val="0024040C"/>
    <w:rsid w:val="00242350"/>
    <w:rsid w:val="002459B5"/>
    <w:rsid w:val="00246775"/>
    <w:rsid w:val="00247EFD"/>
    <w:rsid w:val="00260B8B"/>
    <w:rsid w:val="00281D2F"/>
    <w:rsid w:val="00285DD0"/>
    <w:rsid w:val="002905A9"/>
    <w:rsid w:val="0029300C"/>
    <w:rsid w:val="00293F94"/>
    <w:rsid w:val="002A3B6B"/>
    <w:rsid w:val="002B47BF"/>
    <w:rsid w:val="002B7A90"/>
    <w:rsid w:val="002D39B3"/>
    <w:rsid w:val="002D6570"/>
    <w:rsid w:val="002E1D45"/>
    <w:rsid w:val="002E4C56"/>
    <w:rsid w:val="002E5C51"/>
    <w:rsid w:val="002F5B70"/>
    <w:rsid w:val="0031515A"/>
    <w:rsid w:val="00317BCB"/>
    <w:rsid w:val="0032330A"/>
    <w:rsid w:val="003329CE"/>
    <w:rsid w:val="00334137"/>
    <w:rsid w:val="00340F08"/>
    <w:rsid w:val="00345521"/>
    <w:rsid w:val="00352FE7"/>
    <w:rsid w:val="00355F5D"/>
    <w:rsid w:val="00372054"/>
    <w:rsid w:val="003733F3"/>
    <w:rsid w:val="0038162C"/>
    <w:rsid w:val="00382784"/>
    <w:rsid w:val="00385132"/>
    <w:rsid w:val="0039482D"/>
    <w:rsid w:val="00395552"/>
    <w:rsid w:val="003979F5"/>
    <w:rsid w:val="003A049D"/>
    <w:rsid w:val="003A25F3"/>
    <w:rsid w:val="003A68C5"/>
    <w:rsid w:val="003B58B9"/>
    <w:rsid w:val="003C0C18"/>
    <w:rsid w:val="003C0E74"/>
    <w:rsid w:val="003C395B"/>
    <w:rsid w:val="003C7DDC"/>
    <w:rsid w:val="003D016A"/>
    <w:rsid w:val="003D11A8"/>
    <w:rsid w:val="003D7942"/>
    <w:rsid w:val="003E18ED"/>
    <w:rsid w:val="003E6F0B"/>
    <w:rsid w:val="003E701F"/>
    <w:rsid w:val="003F2165"/>
    <w:rsid w:val="003F7BE9"/>
    <w:rsid w:val="004023F4"/>
    <w:rsid w:val="00406B65"/>
    <w:rsid w:val="00410E1A"/>
    <w:rsid w:val="00414A81"/>
    <w:rsid w:val="00422487"/>
    <w:rsid w:val="0042365E"/>
    <w:rsid w:val="00425A14"/>
    <w:rsid w:val="00441AD6"/>
    <w:rsid w:val="00441BAF"/>
    <w:rsid w:val="0045029D"/>
    <w:rsid w:val="004508A0"/>
    <w:rsid w:val="004610A4"/>
    <w:rsid w:val="00471155"/>
    <w:rsid w:val="00474513"/>
    <w:rsid w:val="00475E4F"/>
    <w:rsid w:val="00477CEC"/>
    <w:rsid w:val="00481D48"/>
    <w:rsid w:val="00484AF1"/>
    <w:rsid w:val="004864AB"/>
    <w:rsid w:val="00486CB7"/>
    <w:rsid w:val="00492B4A"/>
    <w:rsid w:val="00493D0E"/>
    <w:rsid w:val="004A07EA"/>
    <w:rsid w:val="004A0F93"/>
    <w:rsid w:val="004A17EB"/>
    <w:rsid w:val="004A33D8"/>
    <w:rsid w:val="004A463B"/>
    <w:rsid w:val="004A6800"/>
    <w:rsid w:val="004B2E8D"/>
    <w:rsid w:val="004C3581"/>
    <w:rsid w:val="004C4336"/>
    <w:rsid w:val="004C5821"/>
    <w:rsid w:val="004D3ED5"/>
    <w:rsid w:val="004D3FE3"/>
    <w:rsid w:val="004E15D3"/>
    <w:rsid w:val="004E39AE"/>
    <w:rsid w:val="004E3A56"/>
    <w:rsid w:val="004E4215"/>
    <w:rsid w:val="004E5134"/>
    <w:rsid w:val="004E60C0"/>
    <w:rsid w:val="004F75D2"/>
    <w:rsid w:val="004F7D82"/>
    <w:rsid w:val="0050115D"/>
    <w:rsid w:val="0052635A"/>
    <w:rsid w:val="00540F80"/>
    <w:rsid w:val="00541864"/>
    <w:rsid w:val="00543DCD"/>
    <w:rsid w:val="005451A6"/>
    <w:rsid w:val="005506E9"/>
    <w:rsid w:val="00555327"/>
    <w:rsid w:val="00561C24"/>
    <w:rsid w:val="00562440"/>
    <w:rsid w:val="00564247"/>
    <w:rsid w:val="0058318A"/>
    <w:rsid w:val="00584B78"/>
    <w:rsid w:val="00596FE1"/>
    <w:rsid w:val="005979F3"/>
    <w:rsid w:val="005A6A3E"/>
    <w:rsid w:val="005C4BE8"/>
    <w:rsid w:val="005D282D"/>
    <w:rsid w:val="005D38F2"/>
    <w:rsid w:val="005E0BE0"/>
    <w:rsid w:val="005F2057"/>
    <w:rsid w:val="005F5E4A"/>
    <w:rsid w:val="0060067C"/>
    <w:rsid w:val="00602951"/>
    <w:rsid w:val="00602B07"/>
    <w:rsid w:val="006030E9"/>
    <w:rsid w:val="00606EBE"/>
    <w:rsid w:val="006072DB"/>
    <w:rsid w:val="006108F3"/>
    <w:rsid w:val="006115F5"/>
    <w:rsid w:val="00611708"/>
    <w:rsid w:val="00624C55"/>
    <w:rsid w:val="00626CAB"/>
    <w:rsid w:val="006335FA"/>
    <w:rsid w:val="00642317"/>
    <w:rsid w:val="00642A4F"/>
    <w:rsid w:val="0065543F"/>
    <w:rsid w:val="006560B6"/>
    <w:rsid w:val="00666FAD"/>
    <w:rsid w:val="00671A31"/>
    <w:rsid w:val="006729D0"/>
    <w:rsid w:val="006741A9"/>
    <w:rsid w:val="00685B2B"/>
    <w:rsid w:val="00695059"/>
    <w:rsid w:val="00695EA6"/>
    <w:rsid w:val="006B0A1D"/>
    <w:rsid w:val="006B1492"/>
    <w:rsid w:val="006B2260"/>
    <w:rsid w:val="006B4010"/>
    <w:rsid w:val="006C0495"/>
    <w:rsid w:val="006D23B9"/>
    <w:rsid w:val="006D2B86"/>
    <w:rsid w:val="006D488A"/>
    <w:rsid w:val="006D75F6"/>
    <w:rsid w:val="00700E1C"/>
    <w:rsid w:val="00701DBA"/>
    <w:rsid w:val="00702A51"/>
    <w:rsid w:val="0070697D"/>
    <w:rsid w:val="007208E4"/>
    <w:rsid w:val="00724F40"/>
    <w:rsid w:val="00730470"/>
    <w:rsid w:val="00731008"/>
    <w:rsid w:val="00731463"/>
    <w:rsid w:val="007325FF"/>
    <w:rsid w:val="00733495"/>
    <w:rsid w:val="007431D6"/>
    <w:rsid w:val="00745722"/>
    <w:rsid w:val="00747BC0"/>
    <w:rsid w:val="00751968"/>
    <w:rsid w:val="0075438F"/>
    <w:rsid w:val="00755AFB"/>
    <w:rsid w:val="00761DC6"/>
    <w:rsid w:val="00762E2F"/>
    <w:rsid w:val="00770A2E"/>
    <w:rsid w:val="00774F6D"/>
    <w:rsid w:val="00790AD7"/>
    <w:rsid w:val="00793C69"/>
    <w:rsid w:val="00797398"/>
    <w:rsid w:val="00797660"/>
    <w:rsid w:val="007A08C9"/>
    <w:rsid w:val="007A4888"/>
    <w:rsid w:val="007B09C5"/>
    <w:rsid w:val="007C1F3C"/>
    <w:rsid w:val="007C59A9"/>
    <w:rsid w:val="007D3942"/>
    <w:rsid w:val="007E4130"/>
    <w:rsid w:val="007F412D"/>
    <w:rsid w:val="007F4DA6"/>
    <w:rsid w:val="007F559C"/>
    <w:rsid w:val="007F691A"/>
    <w:rsid w:val="0081216D"/>
    <w:rsid w:val="00812595"/>
    <w:rsid w:val="00817D63"/>
    <w:rsid w:val="00822393"/>
    <w:rsid w:val="008353E9"/>
    <w:rsid w:val="00842EC7"/>
    <w:rsid w:val="00843245"/>
    <w:rsid w:val="00852C9C"/>
    <w:rsid w:val="00854037"/>
    <w:rsid w:val="00863F9D"/>
    <w:rsid w:val="00864D34"/>
    <w:rsid w:val="00864F97"/>
    <w:rsid w:val="00866ACB"/>
    <w:rsid w:val="0087585D"/>
    <w:rsid w:val="00881592"/>
    <w:rsid w:val="008829EA"/>
    <w:rsid w:val="00882BF0"/>
    <w:rsid w:val="0088477C"/>
    <w:rsid w:val="008929E3"/>
    <w:rsid w:val="00894CE5"/>
    <w:rsid w:val="008A2499"/>
    <w:rsid w:val="008A7E17"/>
    <w:rsid w:val="008B1CE7"/>
    <w:rsid w:val="008C03C1"/>
    <w:rsid w:val="008C2F2E"/>
    <w:rsid w:val="008D1CFD"/>
    <w:rsid w:val="008F05E7"/>
    <w:rsid w:val="008F5752"/>
    <w:rsid w:val="009018A7"/>
    <w:rsid w:val="0090275F"/>
    <w:rsid w:val="009035A6"/>
    <w:rsid w:val="00903A93"/>
    <w:rsid w:val="00905987"/>
    <w:rsid w:val="00914530"/>
    <w:rsid w:val="00914A89"/>
    <w:rsid w:val="009252EB"/>
    <w:rsid w:val="00946C50"/>
    <w:rsid w:val="00953166"/>
    <w:rsid w:val="00953650"/>
    <w:rsid w:val="009550BC"/>
    <w:rsid w:val="009649A5"/>
    <w:rsid w:val="009659E0"/>
    <w:rsid w:val="009720B5"/>
    <w:rsid w:val="009756E4"/>
    <w:rsid w:val="00997EC2"/>
    <w:rsid w:val="009A5DA6"/>
    <w:rsid w:val="009B0C62"/>
    <w:rsid w:val="009B1C33"/>
    <w:rsid w:val="009B4CE5"/>
    <w:rsid w:val="009C60CE"/>
    <w:rsid w:val="009C7FAD"/>
    <w:rsid w:val="009D5F90"/>
    <w:rsid w:val="009D62DD"/>
    <w:rsid w:val="009E0B43"/>
    <w:rsid w:val="009E1FBE"/>
    <w:rsid w:val="009E517B"/>
    <w:rsid w:val="009F00A9"/>
    <w:rsid w:val="00A019B3"/>
    <w:rsid w:val="00A12507"/>
    <w:rsid w:val="00A200DC"/>
    <w:rsid w:val="00A22A15"/>
    <w:rsid w:val="00A242E6"/>
    <w:rsid w:val="00A27402"/>
    <w:rsid w:val="00A33F5B"/>
    <w:rsid w:val="00A35732"/>
    <w:rsid w:val="00A40F97"/>
    <w:rsid w:val="00A4434B"/>
    <w:rsid w:val="00A45E44"/>
    <w:rsid w:val="00A5114C"/>
    <w:rsid w:val="00A56664"/>
    <w:rsid w:val="00A56BB7"/>
    <w:rsid w:val="00A56C0E"/>
    <w:rsid w:val="00A57F0E"/>
    <w:rsid w:val="00A627B2"/>
    <w:rsid w:val="00A64011"/>
    <w:rsid w:val="00A648C9"/>
    <w:rsid w:val="00A83110"/>
    <w:rsid w:val="00A9066F"/>
    <w:rsid w:val="00A93D68"/>
    <w:rsid w:val="00A97DC8"/>
    <w:rsid w:val="00AA3ACA"/>
    <w:rsid w:val="00AA4C17"/>
    <w:rsid w:val="00AB5790"/>
    <w:rsid w:val="00AD5A75"/>
    <w:rsid w:val="00AD6580"/>
    <w:rsid w:val="00AD7803"/>
    <w:rsid w:val="00AD7E92"/>
    <w:rsid w:val="00AE50CD"/>
    <w:rsid w:val="00AE7D8F"/>
    <w:rsid w:val="00AF270B"/>
    <w:rsid w:val="00AF30AF"/>
    <w:rsid w:val="00B04FDB"/>
    <w:rsid w:val="00B05E1F"/>
    <w:rsid w:val="00B071D0"/>
    <w:rsid w:val="00B075E7"/>
    <w:rsid w:val="00B24B5F"/>
    <w:rsid w:val="00B3138D"/>
    <w:rsid w:val="00B3163E"/>
    <w:rsid w:val="00B33E13"/>
    <w:rsid w:val="00B4343C"/>
    <w:rsid w:val="00B51CD0"/>
    <w:rsid w:val="00B54438"/>
    <w:rsid w:val="00B6173E"/>
    <w:rsid w:val="00B61A22"/>
    <w:rsid w:val="00B62467"/>
    <w:rsid w:val="00B6506D"/>
    <w:rsid w:val="00B65AAD"/>
    <w:rsid w:val="00B66F32"/>
    <w:rsid w:val="00B72F4A"/>
    <w:rsid w:val="00B812A4"/>
    <w:rsid w:val="00B82818"/>
    <w:rsid w:val="00B90096"/>
    <w:rsid w:val="00B92C8A"/>
    <w:rsid w:val="00B96A8E"/>
    <w:rsid w:val="00BA460C"/>
    <w:rsid w:val="00BB0A0D"/>
    <w:rsid w:val="00BC73EE"/>
    <w:rsid w:val="00BC7756"/>
    <w:rsid w:val="00BD1752"/>
    <w:rsid w:val="00BD4B7C"/>
    <w:rsid w:val="00BE1562"/>
    <w:rsid w:val="00BE32B0"/>
    <w:rsid w:val="00BE5CDF"/>
    <w:rsid w:val="00C01075"/>
    <w:rsid w:val="00C02CDE"/>
    <w:rsid w:val="00C043CD"/>
    <w:rsid w:val="00C05690"/>
    <w:rsid w:val="00C11EFB"/>
    <w:rsid w:val="00C128C5"/>
    <w:rsid w:val="00C20556"/>
    <w:rsid w:val="00C30159"/>
    <w:rsid w:val="00C340FA"/>
    <w:rsid w:val="00C471C7"/>
    <w:rsid w:val="00C55017"/>
    <w:rsid w:val="00C617DF"/>
    <w:rsid w:val="00C708F1"/>
    <w:rsid w:val="00C82E84"/>
    <w:rsid w:val="00C95C42"/>
    <w:rsid w:val="00C972DF"/>
    <w:rsid w:val="00C97792"/>
    <w:rsid w:val="00CA76B9"/>
    <w:rsid w:val="00CB047D"/>
    <w:rsid w:val="00CB1560"/>
    <w:rsid w:val="00CB2FA7"/>
    <w:rsid w:val="00CD1B19"/>
    <w:rsid w:val="00CD52A0"/>
    <w:rsid w:val="00CD79AA"/>
    <w:rsid w:val="00CE0E9A"/>
    <w:rsid w:val="00CF5DDC"/>
    <w:rsid w:val="00D030BB"/>
    <w:rsid w:val="00D03979"/>
    <w:rsid w:val="00D24867"/>
    <w:rsid w:val="00D27CF8"/>
    <w:rsid w:val="00D30DD5"/>
    <w:rsid w:val="00D35C5C"/>
    <w:rsid w:val="00D41075"/>
    <w:rsid w:val="00D504F3"/>
    <w:rsid w:val="00D5439C"/>
    <w:rsid w:val="00D55A48"/>
    <w:rsid w:val="00D60BD8"/>
    <w:rsid w:val="00D61B23"/>
    <w:rsid w:val="00D724E1"/>
    <w:rsid w:val="00D746BD"/>
    <w:rsid w:val="00D8066E"/>
    <w:rsid w:val="00D80E45"/>
    <w:rsid w:val="00DA0506"/>
    <w:rsid w:val="00DA1F81"/>
    <w:rsid w:val="00DA4AED"/>
    <w:rsid w:val="00DB7A89"/>
    <w:rsid w:val="00DC2FC0"/>
    <w:rsid w:val="00DC2FFA"/>
    <w:rsid w:val="00DC6D3B"/>
    <w:rsid w:val="00DD0156"/>
    <w:rsid w:val="00DD5D90"/>
    <w:rsid w:val="00DE1E2F"/>
    <w:rsid w:val="00DE36C9"/>
    <w:rsid w:val="00E00A0C"/>
    <w:rsid w:val="00E058AC"/>
    <w:rsid w:val="00E05940"/>
    <w:rsid w:val="00E20F29"/>
    <w:rsid w:val="00E2313A"/>
    <w:rsid w:val="00E25C5A"/>
    <w:rsid w:val="00E329EB"/>
    <w:rsid w:val="00E338D6"/>
    <w:rsid w:val="00E402EC"/>
    <w:rsid w:val="00E44DFF"/>
    <w:rsid w:val="00E465C3"/>
    <w:rsid w:val="00E51EE2"/>
    <w:rsid w:val="00E53ADC"/>
    <w:rsid w:val="00E5460F"/>
    <w:rsid w:val="00E64168"/>
    <w:rsid w:val="00E82E8D"/>
    <w:rsid w:val="00E83BCD"/>
    <w:rsid w:val="00E86E78"/>
    <w:rsid w:val="00E87F30"/>
    <w:rsid w:val="00E908EF"/>
    <w:rsid w:val="00E97E82"/>
    <w:rsid w:val="00EA58AB"/>
    <w:rsid w:val="00EB013F"/>
    <w:rsid w:val="00EB768C"/>
    <w:rsid w:val="00EB76E6"/>
    <w:rsid w:val="00EC6D32"/>
    <w:rsid w:val="00EC7D39"/>
    <w:rsid w:val="00ED5CD5"/>
    <w:rsid w:val="00ED7735"/>
    <w:rsid w:val="00EE7080"/>
    <w:rsid w:val="00EF017D"/>
    <w:rsid w:val="00F00035"/>
    <w:rsid w:val="00F034E2"/>
    <w:rsid w:val="00F03A12"/>
    <w:rsid w:val="00F105B7"/>
    <w:rsid w:val="00F131E2"/>
    <w:rsid w:val="00F16228"/>
    <w:rsid w:val="00F17E1C"/>
    <w:rsid w:val="00F210ED"/>
    <w:rsid w:val="00F3044B"/>
    <w:rsid w:val="00F549A7"/>
    <w:rsid w:val="00F55799"/>
    <w:rsid w:val="00F83E92"/>
    <w:rsid w:val="00F85E18"/>
    <w:rsid w:val="00F9387D"/>
    <w:rsid w:val="00FA085E"/>
    <w:rsid w:val="00FA60F5"/>
    <w:rsid w:val="00FB6B7F"/>
    <w:rsid w:val="00FC6B3D"/>
    <w:rsid w:val="00FD0BF7"/>
    <w:rsid w:val="00FD65B2"/>
    <w:rsid w:val="00FD6C28"/>
    <w:rsid w:val="00FE4B04"/>
    <w:rsid w:val="00FF1CAF"/>
    <w:rsid w:val="598C763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4E1DCBDD"/>
  <w15:docId w15:val="{CD1F11C8-37D2-48F2-8534-236BD6A9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4" w:qFormat="1"/>
    <w:lsdException w:name="heading 5" w:semiHidden="1" w:uiPriority="0"/>
    <w:lsdException w:name="heading 6" w:semiHidden="1"/>
    <w:lsdException w:name="heading 7" w:semiHidden="1"/>
    <w:lsdException w:name="heading 8" w:semiHidden="1"/>
    <w:lsdException w:name="heading 9" w:semiHidden="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qFormat="1"/>
    <w:lsdException w:name="Emphasis" w:uiPriority="2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locked/>
    <w:rsid w:val="002352B6"/>
    <w:rPr>
      <w:lang w:val="en-AU" w:eastAsia="en-AU"/>
    </w:rPr>
  </w:style>
  <w:style w:type="paragraph" w:styleId="Heading1">
    <w:name w:val="heading 1"/>
    <w:basedOn w:val="Normal"/>
    <w:next w:val="BodyText"/>
    <w:link w:val="Heading1Char"/>
    <w:autoRedefine/>
    <w:uiPriority w:val="9"/>
    <w:qFormat/>
    <w:rsid w:val="00F17E1C"/>
    <w:pPr>
      <w:keepNext/>
      <w:numPr>
        <w:numId w:val="19"/>
      </w:numPr>
      <w:pBdr>
        <w:bottom w:val="single" w:sz="8" w:space="4" w:color="auto"/>
      </w:pBdr>
      <w:spacing w:before="237" w:after="240" w:line="264" w:lineRule="auto"/>
      <w:ind w:right="141"/>
      <w:outlineLvl w:val="0"/>
    </w:pPr>
    <w:rPr>
      <w:rFonts w:ascii="Trebuchet MS" w:eastAsia="Trebuchet MS" w:hAnsi="Trebuchet MS" w:cs="Trebuchet MS"/>
      <w:b/>
      <w:bCs/>
      <w:sz w:val="22"/>
      <w:szCs w:val="22"/>
      <w:lang w:val="en-US" w:eastAsia="en-US"/>
    </w:rPr>
  </w:style>
  <w:style w:type="paragraph" w:styleId="Heading2">
    <w:name w:val="heading 2"/>
    <w:basedOn w:val="Normal"/>
    <w:next w:val="BodyText"/>
    <w:link w:val="Heading2Char"/>
    <w:autoRedefine/>
    <w:uiPriority w:val="9"/>
    <w:qFormat/>
    <w:rsid w:val="00C340FA"/>
    <w:pPr>
      <w:keepNext/>
      <w:numPr>
        <w:numId w:val="18"/>
      </w:numPr>
      <w:tabs>
        <w:tab w:val="left" w:pos="849"/>
      </w:tabs>
      <w:spacing w:before="144" w:after="240"/>
      <w:outlineLvl w:val="1"/>
    </w:pPr>
    <w:rPr>
      <w:rFonts w:eastAsia="Trebuchet MS" w:asciiTheme="majorHAnsi" w:hAnsiTheme="majorHAnsi" w:cstheme="majorHAnsi"/>
      <w:b/>
      <w:bCs/>
      <w:w w:val="99"/>
      <w:lang w:val="en-US" w:eastAsia="en-US"/>
    </w:rPr>
  </w:style>
  <w:style w:type="paragraph" w:styleId="Heading3">
    <w:name w:val="heading 3"/>
    <w:basedOn w:val="Normal"/>
    <w:next w:val="BodyTextIndent"/>
    <w:link w:val="Heading3Char"/>
    <w:autoRedefine/>
    <w:uiPriority w:val="9"/>
    <w:qFormat/>
    <w:rsid w:val="00E402EC"/>
    <w:pPr>
      <w:numPr>
        <w:ilvl w:val="2"/>
        <w:numId w:val="1"/>
      </w:numPr>
      <w:spacing w:before="120"/>
      <w:outlineLvl w:val="2"/>
    </w:pPr>
  </w:style>
  <w:style w:type="paragraph" w:styleId="Heading4">
    <w:name w:val="heading 4"/>
    <w:basedOn w:val="Normal"/>
    <w:next w:val="BodyTextIndent2"/>
    <w:uiPriority w:val="4"/>
    <w:qFormat/>
    <w:pPr>
      <w:numPr>
        <w:ilvl w:val="3"/>
        <w:numId w:val="1"/>
      </w:numPr>
      <w:spacing w:before="120"/>
      <w:outlineLvl w:val="3"/>
    </w:pPr>
  </w:style>
  <w:style w:type="paragraph" w:styleId="Heading5">
    <w:name w:val="heading 5"/>
    <w:basedOn w:val="Normal"/>
    <w:next w:val="BodyTextIndent3"/>
    <w:semiHidden/>
    <w:pPr>
      <w:numPr>
        <w:ilvl w:val="4"/>
        <w:numId w:val="1"/>
      </w:numPr>
      <w:outlineLvl w:val="4"/>
    </w:pPr>
  </w:style>
  <w:style w:type="paragraph" w:styleId="Heading6">
    <w:name w:val="heading 6"/>
    <w:basedOn w:val="Normal"/>
    <w:semiHidden/>
    <w:pPr>
      <w:outlineLvl w:val="5"/>
    </w:pPr>
  </w:style>
  <w:style w:type="paragraph" w:styleId="Heading7">
    <w:name w:val="heading 7"/>
    <w:basedOn w:val="Normal"/>
    <w:semiHidden/>
    <w:pPr>
      <w:outlineLvl w:val="6"/>
    </w:pPr>
  </w:style>
  <w:style w:type="paragraph" w:styleId="Heading8">
    <w:name w:val="heading 8"/>
    <w:basedOn w:val="Normal"/>
    <w:semiHidden/>
    <w:pPr>
      <w:outlineLvl w:val="7"/>
    </w:pPr>
  </w:style>
  <w:style w:type="paragraph" w:styleId="Heading9">
    <w:name w:val="heading 9"/>
    <w:basedOn w:val="Normal"/>
    <w:semiHidden/>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Text">
    <w:name w:val="Cell Text"/>
    <w:basedOn w:val="Normal"/>
    <w:rPr>
      <w:sz w:val="18"/>
    </w:rPr>
  </w:style>
  <w:style w:type="paragraph" w:customStyle="1" w:styleId="CellText2">
    <w:name w:val="Cell Text 2"/>
    <w:basedOn w:val="Normal"/>
    <w:semiHidden/>
  </w:style>
  <w:style w:type="paragraph" w:customStyle="1" w:styleId="Acknowledgement">
    <w:name w:val="Acknowledgement"/>
    <w:basedOn w:val="Normal"/>
    <w:next w:val="BodyText"/>
    <w:semiHidden/>
    <w:locked/>
    <w:pPr>
      <w:pBdr>
        <w:bottom w:val="single" w:sz="2" w:space="30" w:color="auto"/>
      </w:pBdr>
      <w:spacing w:before="360" w:after="600"/>
      <w:ind w:left="851"/>
    </w:pPr>
  </w:style>
  <w:style w:type="numbering" w:styleId="ArticleSection">
    <w:name w:val="Outline List 3"/>
    <w:basedOn w:val="NoList"/>
    <w:semiHidden/>
    <w:locked/>
  </w:style>
  <w:style w:type="paragraph" w:customStyle="1" w:styleId="Attachment">
    <w:name w:val="Attachment"/>
    <w:basedOn w:val="Normal"/>
    <w:next w:val="BodyText"/>
    <w:pPr>
      <w:pBdr>
        <w:bottom w:val="single" w:sz="8" w:space="10" w:color="auto"/>
      </w:pBdr>
      <w:spacing w:before="600" w:after="240"/>
      <w:ind w:left="851"/>
    </w:pPr>
    <w:rPr>
      <w:sz w:val="28"/>
    </w:rPr>
  </w:style>
  <w:style w:type="paragraph" w:customStyle="1" w:styleId="Author1">
    <w:name w:val="Author 1"/>
    <w:basedOn w:val="Normal"/>
    <w:next w:val="BodyText"/>
    <w:semiHidden/>
    <w:locked/>
    <w:pPr>
      <w:spacing w:after="0"/>
    </w:pPr>
  </w:style>
  <w:style w:type="paragraph" w:customStyle="1" w:styleId="Author2">
    <w:name w:val="Author 2"/>
    <w:basedOn w:val="Normal"/>
    <w:next w:val="BodyText"/>
    <w:semiHidden/>
    <w:locked/>
    <w:pPr>
      <w:spacing w:after="0"/>
    </w:pPr>
    <w:rPr>
      <w:b/>
    </w:rPr>
  </w:style>
  <w:style w:type="paragraph" w:customStyle="1" w:styleId="AuthorEmail1">
    <w:name w:val="Author Email 1"/>
    <w:basedOn w:val="Normal"/>
    <w:next w:val="BodyText"/>
    <w:semiHidden/>
    <w:locked/>
    <w:pPr>
      <w:spacing w:after="0"/>
    </w:pPr>
  </w:style>
  <w:style w:type="paragraph" w:customStyle="1" w:styleId="AuthorEmail2">
    <w:name w:val="Author Email 2"/>
    <w:basedOn w:val="Normal"/>
    <w:next w:val="BodyText"/>
    <w:semiHidden/>
    <w:locked/>
    <w:pPr>
      <w:spacing w:after="0"/>
    </w:pPr>
    <w:rPr>
      <w:sz w:val="18"/>
    </w:rPr>
  </w:style>
  <w:style w:type="paragraph" w:customStyle="1" w:styleId="AuthorEmail3">
    <w:name w:val="Author Email 3"/>
    <w:basedOn w:val="Normal"/>
    <w:semiHidden/>
    <w:locked/>
    <w:rPr>
      <w:sz w:val="16"/>
    </w:rPr>
  </w:style>
  <w:style w:type="paragraph" w:customStyle="1" w:styleId="AuthorFax1">
    <w:name w:val="Author Fax 1"/>
    <w:basedOn w:val="Normal"/>
    <w:next w:val="BodyText"/>
    <w:semiHidden/>
    <w:locked/>
    <w:pPr>
      <w:tabs>
        <w:tab w:val="left" w:pos="1134"/>
      </w:tabs>
      <w:spacing w:after="0"/>
    </w:pPr>
  </w:style>
  <w:style w:type="paragraph" w:customStyle="1" w:styleId="AuthorMobile1">
    <w:name w:val="Author Mobile 1"/>
    <w:basedOn w:val="Normal"/>
    <w:next w:val="BodyText"/>
    <w:semiHidden/>
    <w:locked/>
    <w:pPr>
      <w:tabs>
        <w:tab w:val="left" w:pos="1134"/>
      </w:tabs>
      <w:spacing w:after="0"/>
    </w:pPr>
  </w:style>
  <w:style w:type="paragraph" w:customStyle="1" w:styleId="AuthorMobile2">
    <w:name w:val="Author Mobile 2"/>
    <w:basedOn w:val="Normal"/>
    <w:next w:val="BodyText"/>
    <w:semiHidden/>
    <w:locked/>
    <w:pPr>
      <w:spacing w:after="0"/>
    </w:pPr>
    <w:rPr>
      <w:sz w:val="18"/>
    </w:rPr>
  </w:style>
  <w:style w:type="paragraph" w:customStyle="1" w:styleId="AuthorPhone1">
    <w:name w:val="Author Phone 1"/>
    <w:basedOn w:val="Normal"/>
    <w:next w:val="BodyText"/>
    <w:semiHidden/>
    <w:locked/>
    <w:pPr>
      <w:tabs>
        <w:tab w:val="left" w:pos="1134"/>
      </w:tabs>
      <w:spacing w:after="0"/>
    </w:pPr>
  </w:style>
  <w:style w:type="paragraph" w:customStyle="1" w:styleId="AuthorPhone2">
    <w:name w:val="Author Phone 2"/>
    <w:basedOn w:val="Normal"/>
    <w:next w:val="BodyText"/>
    <w:semiHidden/>
    <w:locked/>
    <w:pPr>
      <w:spacing w:after="0"/>
    </w:pPr>
    <w:rPr>
      <w:sz w:val="18"/>
    </w:rPr>
  </w:style>
  <w:style w:type="paragraph" w:customStyle="1" w:styleId="AuthorPosition1">
    <w:name w:val="Author Position 1"/>
    <w:basedOn w:val="Normal"/>
    <w:next w:val="BodyText"/>
    <w:semiHidden/>
    <w:locked/>
    <w:pPr>
      <w:spacing w:after="0"/>
    </w:pPr>
  </w:style>
  <w:style w:type="paragraph" w:customStyle="1" w:styleId="Banner">
    <w:name w:val="Banner"/>
    <w:basedOn w:val="Normal"/>
    <w:next w:val="BodyText"/>
    <w:semiHidden/>
    <w:locked/>
    <w:pPr>
      <w:spacing w:after="600"/>
      <w:jc w:val="right"/>
    </w:pPr>
    <w:rPr>
      <w:sz w:val="36"/>
    </w:rPr>
  </w:style>
  <w:style w:type="paragraph" w:customStyle="1" w:styleId="Banner2">
    <w:name w:val="Banner 2"/>
    <w:basedOn w:val="Normal"/>
    <w:next w:val="BodyText"/>
    <w:semiHidden/>
    <w:locked/>
    <w:pPr>
      <w:spacing w:after="600"/>
      <w:jc w:val="right"/>
    </w:pPr>
    <w:rPr>
      <w:sz w:val="36"/>
    </w:rPr>
  </w:style>
  <w:style w:type="paragraph" w:customStyle="1" w:styleId="Banner3">
    <w:name w:val="Banner 3"/>
    <w:basedOn w:val="Normal"/>
    <w:next w:val="BodyText"/>
    <w:semiHidden/>
    <w:locked/>
    <w:pPr>
      <w:spacing w:after="600"/>
      <w:jc w:val="right"/>
    </w:pPr>
    <w:rPr>
      <w:sz w:val="36"/>
    </w:rPr>
  </w:style>
  <w:style w:type="paragraph" w:styleId="BlockText">
    <w:name w:val="Block Text"/>
    <w:basedOn w:val="Normal"/>
    <w:semiHidden/>
    <w:locked/>
  </w:style>
  <w:style w:type="paragraph" w:styleId="BodyText">
    <w:name w:val="Body Text"/>
    <w:basedOn w:val="Normal"/>
    <w:link w:val="BodyTextChar"/>
    <w:uiPriority w:val="1"/>
    <w:qFormat/>
    <w:pPr>
      <w:ind w:left="851"/>
    </w:pPr>
  </w:style>
  <w:style w:type="paragraph" w:styleId="BodyText2">
    <w:name w:val="Body Text 2"/>
    <w:basedOn w:val="Normal"/>
    <w:semiHidden/>
    <w:locked/>
  </w:style>
  <w:style w:type="paragraph" w:styleId="BodyText3">
    <w:name w:val="Body Text 3"/>
    <w:basedOn w:val="Normal"/>
    <w:semiHidden/>
    <w:locked/>
  </w:style>
  <w:style w:type="paragraph" w:styleId="BodyTextFirstIndent">
    <w:name w:val="Body Text First Indent"/>
    <w:basedOn w:val="BodyText"/>
    <w:semiHidden/>
    <w:locked/>
    <w:pPr>
      <w:ind w:firstLine="567"/>
    </w:pPr>
  </w:style>
  <w:style w:type="paragraph" w:styleId="BodyTextFirstIndent2">
    <w:name w:val="Body Text First Indent 2"/>
    <w:basedOn w:val="BodyTextIndent"/>
    <w:semiHidden/>
    <w:locked/>
    <w:pPr>
      <w:ind w:left="1701" w:firstLine="567"/>
    </w:pPr>
  </w:style>
  <w:style w:type="paragraph" w:styleId="BodyTextIndent">
    <w:name w:val="Body Text Indent"/>
    <w:basedOn w:val="Normal"/>
    <w:uiPriority w:val="6"/>
    <w:qFormat/>
    <w:pPr>
      <w:ind w:left="1702"/>
    </w:pPr>
  </w:style>
  <w:style w:type="paragraph" w:styleId="BodyTextIndent2">
    <w:name w:val="Body Text Indent 2"/>
    <w:basedOn w:val="Normal"/>
    <w:uiPriority w:val="7"/>
    <w:qFormat/>
    <w:pPr>
      <w:ind w:left="2553"/>
    </w:pPr>
  </w:style>
  <w:style w:type="paragraph" w:styleId="BodyTextIndent3">
    <w:name w:val="Body Text Indent 3"/>
    <w:basedOn w:val="Normal"/>
    <w:semiHidden/>
    <w:pPr>
      <w:ind w:left="3404"/>
    </w:pPr>
  </w:style>
  <w:style w:type="paragraph" w:customStyle="1" w:styleId="Brand">
    <w:name w:val="Brand"/>
    <w:basedOn w:val="Normal"/>
    <w:next w:val="BodyText"/>
    <w:semiHidden/>
    <w:locked/>
  </w:style>
  <w:style w:type="paragraph" w:styleId="Caption">
    <w:name w:val="caption"/>
    <w:basedOn w:val="Normal"/>
    <w:next w:val="BodyText"/>
    <w:semiHidden/>
    <w:locked/>
    <w:pPr>
      <w:spacing w:after="600"/>
      <w:jc w:val="right"/>
    </w:pPr>
    <w:rPr>
      <w:sz w:val="36"/>
    </w:rPr>
  </w:style>
  <w:style w:type="paragraph" w:customStyle="1" w:styleId="ClientName">
    <w:name w:val="Client Name"/>
    <w:basedOn w:val="Normal"/>
    <w:next w:val="BodyText"/>
    <w:semiHidden/>
    <w:locked/>
    <w:pPr>
      <w:spacing w:after="0"/>
    </w:pPr>
  </w:style>
  <w:style w:type="paragraph" w:styleId="Closing">
    <w:name w:val="Closing"/>
    <w:basedOn w:val="Normal"/>
    <w:semiHidden/>
    <w:locked/>
  </w:style>
  <w:style w:type="paragraph" w:customStyle="1" w:styleId="ColumnHeader">
    <w:name w:val="Column Header"/>
    <w:basedOn w:val="Normal"/>
    <w:next w:val="BodyText"/>
    <w:pPr>
      <w:keepNext/>
    </w:pPr>
    <w:rPr>
      <w:b/>
      <w:sz w:val="18"/>
    </w:rPr>
  </w:style>
  <w:style w:type="paragraph" w:customStyle="1" w:styleId="CopyrightNotice">
    <w:name w:val="Copyright Notice"/>
    <w:basedOn w:val="Normal"/>
    <w:next w:val="BodyText"/>
    <w:semiHidden/>
    <w:locked/>
    <w:pPr>
      <w:ind w:left="851"/>
    </w:pPr>
  </w:style>
  <w:style w:type="paragraph" w:customStyle="1" w:styleId="CoverText">
    <w:name w:val="Cover Text"/>
    <w:basedOn w:val="Normal"/>
    <w:semiHidden/>
    <w:locked/>
    <w:pPr>
      <w:spacing w:after="0"/>
    </w:pPr>
    <w:rPr>
      <w:sz w:val="16"/>
    </w:rPr>
  </w:style>
  <w:style w:type="character" w:customStyle="1" w:styleId="DateArrow">
    <w:name w:val="Date Arrow"/>
    <w:basedOn w:val="DefaultParagraphFont"/>
    <w:semiHidden/>
    <w:locked/>
    <w:rPr>
      <w:rFonts w:cs="Arial"/>
      <w:sz w:val="14"/>
    </w:rPr>
  </w:style>
  <w:style w:type="paragraph" w:styleId="Date">
    <w:name w:val="Date"/>
    <w:basedOn w:val="Normal"/>
    <w:next w:val="BodyText"/>
    <w:semiHidden/>
    <w:locked/>
    <w:pPr>
      <w:spacing w:after="0"/>
    </w:pPr>
  </w:style>
  <w:style w:type="paragraph" w:customStyle="1" w:styleId="Date2">
    <w:name w:val="Date 2"/>
    <w:basedOn w:val="Normal"/>
    <w:next w:val="BodyText"/>
    <w:semiHidden/>
    <w:locked/>
    <w:pPr>
      <w:spacing w:before="600" w:after="0"/>
      <w:ind w:left="851"/>
    </w:pPr>
    <w:rPr>
      <w:b/>
    </w:rPr>
  </w:style>
  <w:style w:type="paragraph" w:customStyle="1" w:styleId="Date3">
    <w:name w:val="Date 3"/>
    <w:basedOn w:val="Normal"/>
    <w:next w:val="BodyText"/>
    <w:semiHidden/>
    <w:locked/>
    <w:pPr>
      <w:spacing w:before="600" w:after="360"/>
      <w:ind w:left="851"/>
    </w:pPr>
    <w:rPr>
      <w:sz w:val="22"/>
    </w:rPr>
  </w:style>
  <w:style w:type="paragraph" w:customStyle="1" w:styleId="Date4">
    <w:name w:val="Date 4"/>
    <w:basedOn w:val="Normal"/>
    <w:next w:val="BodyText"/>
    <w:semiHidden/>
    <w:locked/>
    <w:rPr>
      <w:sz w:val="22"/>
    </w:rPr>
  </w:style>
  <w:style w:type="paragraph" w:customStyle="1" w:styleId="DeliveryInstruction">
    <w:name w:val="Delivery Instruction"/>
    <w:basedOn w:val="Normal"/>
    <w:next w:val="BodyText"/>
    <w:semiHidden/>
    <w:locked/>
    <w:pPr>
      <w:spacing w:after="0"/>
    </w:pPr>
  </w:style>
  <w:style w:type="paragraph" w:customStyle="1" w:styleId="Disclaimer">
    <w:name w:val="Disclaimer"/>
    <w:basedOn w:val="Normal"/>
    <w:next w:val="Footer"/>
    <w:semiHidden/>
    <w:locked/>
    <w:pPr>
      <w:spacing w:after="0"/>
    </w:pPr>
    <w:rPr>
      <w:sz w:val="18"/>
    </w:rPr>
  </w:style>
  <w:style w:type="paragraph" w:customStyle="1" w:styleId="DraftDate">
    <w:name w:val="Draft Date"/>
    <w:basedOn w:val="Normal"/>
    <w:next w:val="BodyText"/>
    <w:semiHidden/>
    <w:locked/>
    <w:pPr>
      <w:spacing w:after="0"/>
      <w:jc w:val="right"/>
    </w:pPr>
  </w:style>
  <w:style w:type="paragraph" w:customStyle="1" w:styleId="DraftNumber">
    <w:name w:val="Draft Number"/>
    <w:basedOn w:val="Normal"/>
    <w:next w:val="DraftDate"/>
    <w:semiHidden/>
    <w:locked/>
    <w:pPr>
      <w:spacing w:after="0"/>
      <w:jc w:val="right"/>
    </w:pPr>
    <w:rPr>
      <w:sz w:val="22"/>
    </w:rPr>
  </w:style>
  <w:style w:type="character" w:styleId="Emphasis">
    <w:name w:val="Emphasis"/>
    <w:basedOn w:val="DefaultParagraphFont"/>
    <w:rPr>
      <w:i/>
    </w:rPr>
  </w:style>
  <w:style w:type="paragraph" w:styleId="E-mailSignature">
    <w:name w:val="E-mail Signature"/>
    <w:basedOn w:val="Normal"/>
    <w:semiHidden/>
    <w:locked/>
  </w:style>
  <w:style w:type="paragraph" w:styleId="EnvelopeAddress">
    <w:name w:val="envelope address"/>
    <w:basedOn w:val="Normal"/>
    <w:semiHidden/>
    <w:locked/>
  </w:style>
  <w:style w:type="paragraph" w:styleId="EnvelopeReturn">
    <w:name w:val="envelope return"/>
    <w:basedOn w:val="Normal"/>
    <w:semiHidden/>
    <w:locked/>
  </w:style>
  <w:style w:type="character" w:customStyle="1" w:styleId="ExecArrow">
    <w:name w:val="Exec Arrow"/>
    <w:basedOn w:val="DefaultParagraphFont"/>
    <w:semiHidden/>
    <w:locked/>
    <w:rPr>
      <w:rFonts w:cs="Arial"/>
      <w:sz w:val="14"/>
    </w:rPr>
  </w:style>
  <w:style w:type="character" w:customStyle="1" w:styleId="ExecInstruction">
    <w:name w:val="Exec Instruction"/>
    <w:basedOn w:val="DefaultParagraphFont"/>
    <w:semiHidden/>
    <w:locked/>
    <w:rPr>
      <w:rFonts w:ascii="Arial"/>
      <w:i/>
      <w:sz w:val="16"/>
    </w:rPr>
  </w:style>
  <w:style w:type="paragraph" w:customStyle="1" w:styleId="ExecLeadIn">
    <w:name w:val="Exec Lead In"/>
    <w:basedOn w:val="Normal"/>
    <w:next w:val="ExecText"/>
    <w:semiHidden/>
    <w:locked/>
    <w:pPr>
      <w:keepNext/>
      <w:spacing w:before="120" w:after="0"/>
    </w:pPr>
    <w:rPr>
      <w:sz w:val="22"/>
    </w:rPr>
  </w:style>
  <w:style w:type="paragraph" w:customStyle="1" w:styleId="ExecName">
    <w:name w:val="Exec Name"/>
    <w:basedOn w:val="Normal"/>
    <w:next w:val="ExecText"/>
    <w:semiHidden/>
    <w:locked/>
    <w:pPr>
      <w:keepNext/>
      <w:spacing w:before="240" w:after="0"/>
    </w:pPr>
    <w:rPr>
      <w:sz w:val="18"/>
    </w:rPr>
  </w:style>
  <w:style w:type="paragraph" w:customStyle="1" w:styleId="ExecSignature">
    <w:name w:val="Exec Signature"/>
    <w:basedOn w:val="Normal"/>
    <w:next w:val="ExecText"/>
    <w:semiHidden/>
    <w:locked/>
    <w:pPr>
      <w:keepNext/>
      <w:spacing w:before="480" w:after="0"/>
    </w:pPr>
    <w:rPr>
      <w:sz w:val="18"/>
    </w:rPr>
  </w:style>
  <w:style w:type="paragraph" w:customStyle="1" w:styleId="ExecText">
    <w:name w:val="Exec Text"/>
    <w:basedOn w:val="Normal"/>
    <w:semiHidden/>
    <w:locked/>
    <w:pPr>
      <w:keepNext/>
      <w:spacing w:after="0"/>
    </w:pPr>
    <w:rPr>
      <w:sz w:val="18"/>
    </w:rPr>
  </w:style>
  <w:style w:type="character" w:styleId="FollowedHyperlink">
    <w:name w:val="FollowedHyperlink"/>
    <w:basedOn w:val="DefaultParagraphFont"/>
    <w:semiHidden/>
    <w:locked/>
    <w:rPr>
      <w:color w:val="800080"/>
      <w:u w:val="single"/>
    </w:rPr>
  </w:style>
  <w:style w:type="paragraph" w:styleId="Footer">
    <w:name w:val="footer"/>
    <w:basedOn w:val="Normal"/>
    <w:link w:val="FooterChar"/>
    <w:uiPriority w:val="99"/>
    <w:locked/>
    <w:pPr>
      <w:spacing w:after="0"/>
    </w:pPr>
    <w:rPr>
      <w:sz w:val="14"/>
    </w:rPr>
  </w:style>
  <w:style w:type="paragraph" w:customStyle="1" w:styleId="Footer2">
    <w:name w:val="Footer 2"/>
    <w:basedOn w:val="Footer"/>
    <w:semiHidden/>
    <w:locked/>
    <w:pPr>
      <w:jc w:val="right"/>
    </w:pPr>
    <w:rPr>
      <w:sz w:val="16"/>
    </w:rPr>
  </w:style>
  <w:style w:type="paragraph" w:customStyle="1" w:styleId="Footer3">
    <w:name w:val="Footer 3"/>
    <w:basedOn w:val="Footer"/>
    <w:semiHidden/>
    <w:locked/>
    <w:pPr>
      <w:jc w:val="right"/>
    </w:pPr>
    <w:rPr>
      <w:sz w:val="16"/>
    </w:rPr>
  </w:style>
  <w:style w:type="paragraph" w:customStyle="1" w:styleId="Footer4">
    <w:name w:val="Footer 4"/>
    <w:basedOn w:val="Footer"/>
    <w:semiHidden/>
    <w:locked/>
    <w:pPr>
      <w:spacing w:before="240"/>
    </w:pPr>
    <w:rPr>
      <w:sz w:val="18"/>
    </w:rPr>
  </w:style>
  <w:style w:type="paragraph" w:customStyle="1" w:styleId="Footer5">
    <w:name w:val="Footer 5"/>
    <w:basedOn w:val="Footer"/>
    <w:semiHidden/>
    <w:locked/>
  </w:style>
  <w:style w:type="paragraph" w:customStyle="1" w:styleId="Footer6">
    <w:name w:val="Footer 6"/>
    <w:basedOn w:val="Normal"/>
    <w:semiHidden/>
    <w:locked/>
    <w:pPr>
      <w:spacing w:before="120" w:after="0"/>
    </w:pPr>
    <w:rPr>
      <w:sz w:val="12"/>
    </w:rPr>
  </w:style>
  <w:style w:type="paragraph" w:customStyle="1" w:styleId="Footer7">
    <w:name w:val="Footer 7"/>
    <w:basedOn w:val="Footer"/>
    <w:semiHidden/>
    <w:locked/>
    <w:pPr>
      <w:jc w:val="right"/>
    </w:pPr>
  </w:style>
  <w:style w:type="paragraph" w:customStyle="1" w:styleId="Footer8">
    <w:name w:val="Footer 8"/>
    <w:basedOn w:val="Footer"/>
    <w:semiHidden/>
    <w:locked/>
    <w:pPr>
      <w:ind w:left="851"/>
    </w:pPr>
  </w:style>
  <w:style w:type="character" w:styleId="FootnoteReference">
    <w:name w:val="footnote reference"/>
    <w:basedOn w:val="DefaultParagraphFont"/>
    <w:semiHidden/>
    <w:locked/>
    <w:rPr>
      <w:vertAlign w:val="superscript"/>
    </w:rPr>
  </w:style>
  <w:style w:type="paragraph" w:styleId="FootnoteText">
    <w:name w:val="footnote text"/>
    <w:basedOn w:val="Normal"/>
    <w:link w:val="FootnoteTextChar"/>
    <w:semiHidden/>
    <w:locked/>
    <w:pPr>
      <w:keepLines/>
    </w:pPr>
    <w:rPr>
      <w:sz w:val="16"/>
    </w:rPr>
  </w:style>
  <w:style w:type="paragraph" w:customStyle="1" w:styleId="FormLabel">
    <w:name w:val="Form Label"/>
    <w:basedOn w:val="Normal"/>
    <w:semiHidden/>
    <w:locked/>
    <w:pPr>
      <w:spacing w:after="0"/>
    </w:pPr>
    <w:rPr>
      <w:sz w:val="18"/>
    </w:rPr>
  </w:style>
  <w:style w:type="paragraph" w:customStyle="1" w:styleId="FormValue">
    <w:name w:val="Form Value"/>
    <w:basedOn w:val="Normal"/>
    <w:semiHidden/>
    <w:pPr>
      <w:spacing w:after="0"/>
    </w:pPr>
    <w:rPr>
      <w:sz w:val="18"/>
    </w:rPr>
  </w:style>
  <w:style w:type="paragraph" w:customStyle="1" w:styleId="FormLayout">
    <w:name w:val="Form Layout"/>
    <w:basedOn w:val="Normal"/>
    <w:semiHidden/>
    <w:locked/>
    <w:pPr>
      <w:spacing w:after="0"/>
    </w:pPr>
    <w:rPr>
      <w:sz w:val="16"/>
    </w:rPr>
  </w:style>
  <w:style w:type="paragraph" w:customStyle="1" w:styleId="FormHeading">
    <w:name w:val="Form Heading"/>
    <w:basedOn w:val="Normal"/>
    <w:next w:val="BodyText"/>
    <w:semiHidden/>
    <w:locked/>
    <w:pPr>
      <w:spacing w:after="0"/>
    </w:pPr>
    <w:rPr>
      <w:sz w:val="24"/>
    </w:rPr>
  </w:style>
  <w:style w:type="paragraph" w:customStyle="1" w:styleId="greybox">
    <w:name w:val="greybox"/>
    <w:basedOn w:val="Normal"/>
    <w:semiHidden/>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style>
  <w:style w:type="paragraph" w:customStyle="1" w:styleId="greyboxclauses">
    <w:name w:val="greybox_clauses"/>
    <w:basedOn w:val="Normal"/>
    <w:semiHidden/>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style>
  <w:style w:type="paragraph" w:styleId="Header">
    <w:name w:val="header"/>
    <w:basedOn w:val="Normal"/>
    <w:link w:val="HeaderChar"/>
    <w:uiPriority w:val="99"/>
    <w:locked/>
    <w:pPr>
      <w:spacing w:after="0"/>
    </w:pPr>
    <w:rPr>
      <w:sz w:val="18"/>
    </w:rPr>
  </w:style>
  <w:style w:type="paragraph" w:customStyle="1" w:styleId="Header2">
    <w:name w:val="Header 2"/>
    <w:basedOn w:val="Header"/>
    <w:semiHidden/>
    <w:locked/>
    <w:pPr>
      <w:jc w:val="right"/>
    </w:pPr>
  </w:style>
  <w:style w:type="paragraph" w:customStyle="1" w:styleId="Header3">
    <w:name w:val="Header 3"/>
    <w:basedOn w:val="Header"/>
    <w:semiHidden/>
    <w:locked/>
    <w:pPr>
      <w:jc w:val="center"/>
    </w:pPr>
  </w:style>
  <w:style w:type="paragraph" w:customStyle="1" w:styleId="Header4">
    <w:name w:val="Header 4"/>
    <w:basedOn w:val="Header"/>
    <w:semiHidden/>
    <w:locked/>
    <w:pPr>
      <w:jc w:val="right"/>
    </w:pPr>
    <w:rPr>
      <w:sz w:val="36"/>
    </w:rPr>
  </w:style>
  <w:style w:type="paragraph" w:customStyle="1" w:styleId="HeaderFooterText">
    <w:name w:val="Header Footer Text"/>
    <w:basedOn w:val="Normal"/>
    <w:semiHidden/>
    <w:pPr>
      <w:spacing w:after="0"/>
      <w:ind w:left="851"/>
    </w:pPr>
    <w:rPr>
      <w:sz w:val="2"/>
    </w:rPr>
  </w:style>
  <w:style w:type="character" w:customStyle="1" w:styleId="Highlight">
    <w:name w:val="Highlight"/>
    <w:basedOn w:val="DefaultParagraphFont"/>
    <w:semiHidden/>
  </w:style>
  <w:style w:type="character" w:styleId="HTMLAcronym">
    <w:name w:val="HTML Acronym"/>
    <w:basedOn w:val="DefaultParagraphFont"/>
    <w:semiHidden/>
    <w:locked/>
  </w:style>
  <w:style w:type="paragraph" w:styleId="HTMLAddress">
    <w:name w:val="HTML Address"/>
    <w:basedOn w:val="Normal"/>
    <w:semiHidden/>
    <w:locked/>
  </w:style>
  <w:style w:type="character" w:styleId="HTMLCite">
    <w:name w:val="HTML Cite"/>
    <w:basedOn w:val="DefaultParagraphFont"/>
    <w:semiHidden/>
    <w:locked/>
  </w:style>
  <w:style w:type="character" w:styleId="HTMLCode">
    <w:name w:val="HTML Code"/>
    <w:basedOn w:val="DefaultParagraphFont"/>
    <w:semiHidden/>
    <w:locked/>
  </w:style>
  <w:style w:type="character" w:styleId="HTMLDefinition">
    <w:name w:val="HTML Definition"/>
    <w:basedOn w:val="DefaultParagraphFont"/>
    <w:semiHidden/>
    <w:locked/>
  </w:style>
  <w:style w:type="character" w:styleId="HTMLKeyboard">
    <w:name w:val="HTML Keyboard"/>
    <w:basedOn w:val="DefaultParagraphFont"/>
    <w:semiHidden/>
    <w:locked/>
  </w:style>
  <w:style w:type="paragraph" w:styleId="HTMLPreformatted">
    <w:name w:val="HTML Preformatted"/>
    <w:basedOn w:val="Normal"/>
    <w:semiHidden/>
    <w:locked/>
  </w:style>
  <w:style w:type="character" w:styleId="HTMLSample">
    <w:name w:val="HTML Sample"/>
    <w:basedOn w:val="DefaultParagraphFont"/>
    <w:semiHidden/>
    <w:locked/>
  </w:style>
  <w:style w:type="character" w:styleId="HTMLTypewriter">
    <w:name w:val="HTML Typewriter"/>
    <w:basedOn w:val="DefaultParagraphFont"/>
    <w:semiHidden/>
    <w:locked/>
  </w:style>
  <w:style w:type="character" w:styleId="HTMLVariable">
    <w:name w:val="HTML Variable"/>
    <w:basedOn w:val="DefaultParagraphFont"/>
    <w:semiHidden/>
    <w:locked/>
  </w:style>
  <w:style w:type="character" w:styleId="Hyperlink">
    <w:name w:val="Hyperlink"/>
    <w:basedOn w:val="DefaultParagraphFont"/>
    <w:semiHidden/>
    <w:rPr>
      <w:b w:val="0"/>
      <w:color w:val="0000FF"/>
      <w:u w:val="single"/>
    </w:rPr>
  </w:style>
  <w:style w:type="paragraph" w:customStyle="1" w:styleId="ItemID">
    <w:name w:val="Item ID"/>
    <w:basedOn w:val="Normal"/>
    <w:next w:val="BodyText"/>
    <w:semiHidden/>
    <w:locked/>
    <w:pPr>
      <w:spacing w:before="120" w:after="0"/>
    </w:pPr>
    <w:rPr>
      <w:spacing w:val="-6"/>
      <w:sz w:val="19"/>
    </w:rPr>
  </w:style>
  <w:style w:type="paragraph" w:customStyle="1" w:styleId="Level1">
    <w:name w:val="Level 1"/>
    <w:basedOn w:val="Normal"/>
    <w:next w:val="BodyText"/>
    <w:pPr>
      <w:keepNext/>
      <w:pBdr>
        <w:bottom w:val="single" w:sz="8" w:space="10" w:color="auto"/>
      </w:pBdr>
      <w:spacing w:before="600" w:after="240"/>
      <w:ind w:left="851"/>
    </w:pPr>
    <w:rPr>
      <w:sz w:val="28"/>
    </w:rPr>
  </w:style>
  <w:style w:type="paragraph" w:customStyle="1" w:styleId="Level2">
    <w:name w:val="Level 2"/>
    <w:basedOn w:val="Normal"/>
    <w:next w:val="BodyText"/>
    <w:pPr>
      <w:keepNext/>
      <w:spacing w:before="240"/>
      <w:ind w:left="851"/>
    </w:pPr>
    <w:rPr>
      <w:b/>
      <w:sz w:val="24"/>
    </w:rPr>
  </w:style>
  <w:style w:type="paragraph" w:customStyle="1" w:styleId="Level3">
    <w:name w:val="Level 3"/>
    <w:basedOn w:val="Normal"/>
    <w:next w:val="BodyText"/>
    <w:pPr>
      <w:keepNext/>
      <w:spacing w:before="240"/>
      <w:ind w:left="851"/>
    </w:pPr>
    <w:rPr>
      <w:b/>
    </w:rPr>
  </w:style>
  <w:style w:type="paragraph" w:styleId="List">
    <w:name w:val="List"/>
    <w:basedOn w:val="Normal"/>
    <w:semiHidden/>
    <w:locked/>
  </w:style>
  <w:style w:type="paragraph" w:styleId="List2">
    <w:name w:val="List 2"/>
    <w:basedOn w:val="Normal"/>
    <w:semiHidden/>
    <w:locked/>
  </w:style>
  <w:style w:type="paragraph" w:styleId="List3">
    <w:name w:val="List 3"/>
    <w:basedOn w:val="Normal"/>
    <w:semiHidden/>
    <w:locked/>
  </w:style>
  <w:style w:type="paragraph" w:styleId="List4">
    <w:name w:val="List 4"/>
    <w:basedOn w:val="Normal"/>
    <w:semiHidden/>
    <w:locked/>
  </w:style>
  <w:style w:type="paragraph" w:styleId="List5">
    <w:name w:val="List 5"/>
    <w:basedOn w:val="Normal"/>
    <w:semiHidden/>
    <w:locked/>
  </w:style>
  <w:style w:type="paragraph" w:styleId="ListBullet">
    <w:name w:val="List Bullet"/>
    <w:basedOn w:val="Normal"/>
    <w:uiPriority w:val="9"/>
    <w:qFormat/>
    <w:pPr>
      <w:numPr>
        <w:numId w:val="7"/>
      </w:numPr>
    </w:pPr>
  </w:style>
  <w:style w:type="paragraph" w:styleId="ListBullet2">
    <w:name w:val="List Bullet 2"/>
    <w:basedOn w:val="Normal"/>
    <w:semiHidden/>
    <w:pPr>
      <w:numPr>
        <w:numId w:val="8"/>
      </w:numPr>
    </w:pPr>
  </w:style>
  <w:style w:type="paragraph" w:styleId="ListBullet3">
    <w:name w:val="List Bullet 3"/>
    <w:basedOn w:val="Normal"/>
    <w:semiHidden/>
    <w:pPr>
      <w:numPr>
        <w:numId w:val="9"/>
      </w:numPr>
    </w:pPr>
  </w:style>
  <w:style w:type="paragraph" w:customStyle="1" w:styleId="ListBulletDisclaimer">
    <w:name w:val="List Bullet Disclaimer"/>
    <w:basedOn w:val="Normal"/>
    <w:semiHidden/>
    <w:pPr>
      <w:numPr>
        <w:numId w:val="10"/>
      </w:numPr>
      <w:spacing w:after="0"/>
      <w:ind w:left="284" w:hanging="284"/>
    </w:pPr>
    <w:rPr>
      <w:sz w:val="16"/>
      <w:szCs w:val="16"/>
    </w:rPr>
  </w:style>
  <w:style w:type="paragraph" w:customStyle="1" w:styleId="ListBulletIndent">
    <w:name w:val="List Bullet Indent"/>
    <w:pPr>
      <w:numPr>
        <w:numId w:val="11"/>
      </w:numPr>
    </w:pPr>
  </w:style>
  <w:style w:type="paragraph" w:customStyle="1" w:styleId="ListBulletTable">
    <w:name w:val="List Bullet Table"/>
    <w:basedOn w:val="Normal"/>
    <w:pPr>
      <w:numPr>
        <w:numId w:val="12"/>
      </w:numPr>
    </w:pPr>
    <w:rPr>
      <w:sz w:val="18"/>
      <w:szCs w:val="18"/>
    </w:rPr>
  </w:style>
  <w:style w:type="paragraph" w:customStyle="1" w:styleId="ListBulletTable2">
    <w:name w:val="List Bullet Table 2"/>
    <w:basedOn w:val="Normal"/>
    <w:semiHidden/>
    <w:pPr>
      <w:numPr>
        <w:numId w:val="13"/>
      </w:numPr>
    </w:pPr>
  </w:style>
  <w:style w:type="paragraph" w:customStyle="1" w:styleId="ListBulletTableIndent">
    <w:name w:val="List Bullet Table Indent"/>
    <w:basedOn w:val="Normal"/>
    <w:pPr>
      <w:numPr>
        <w:numId w:val="14"/>
      </w:numPr>
    </w:pPr>
    <w:rPr>
      <w:sz w:val="18"/>
      <w:szCs w:val="18"/>
    </w:rPr>
  </w:style>
  <w:style w:type="paragraph" w:customStyle="1" w:styleId="ListBulletTableIndent2">
    <w:name w:val="List Bullet Table Indent2"/>
    <w:basedOn w:val="Normal"/>
    <w:semiHidden/>
    <w:pPr>
      <w:numPr>
        <w:numId w:val="15"/>
      </w:numPr>
    </w:pPr>
  </w:style>
  <w:style w:type="paragraph" w:styleId="ListNumber">
    <w:name w:val="List Number"/>
    <w:basedOn w:val="Normal"/>
    <w:uiPriority w:val="8"/>
    <w:qFormat/>
    <w:pPr>
      <w:numPr>
        <w:numId w:val="3"/>
      </w:numPr>
      <w:spacing w:before="120"/>
    </w:pPr>
  </w:style>
  <w:style w:type="paragraph" w:styleId="ListNumber2">
    <w:name w:val="List Number 2"/>
    <w:basedOn w:val="Normal"/>
    <w:semiHidden/>
    <w:pPr>
      <w:numPr>
        <w:numId w:val="4"/>
      </w:numPr>
      <w:spacing w:before="120"/>
    </w:pPr>
  </w:style>
  <w:style w:type="paragraph" w:styleId="ListNumber3">
    <w:name w:val="List Number 3"/>
    <w:basedOn w:val="Normal"/>
    <w:semiHidden/>
    <w:pPr>
      <w:numPr>
        <w:numId w:val="5"/>
      </w:numPr>
      <w:spacing w:before="120"/>
    </w:pPr>
  </w:style>
  <w:style w:type="paragraph" w:styleId="ListNumber4">
    <w:name w:val="List Number 4"/>
    <w:basedOn w:val="Normal"/>
    <w:semiHidden/>
    <w:pPr>
      <w:spacing w:before="120"/>
    </w:pPr>
  </w:style>
  <w:style w:type="paragraph" w:styleId="ListNumber5">
    <w:name w:val="List Number 5"/>
    <w:basedOn w:val="Normal"/>
    <w:semiHidden/>
    <w:pPr>
      <w:spacing w:before="120"/>
    </w:pPr>
  </w:style>
  <w:style w:type="paragraph" w:customStyle="1" w:styleId="ListNumberTable">
    <w:name w:val="List Number Table"/>
    <w:basedOn w:val="Normal"/>
    <w:pPr>
      <w:numPr>
        <w:numId w:val="6"/>
      </w:numPr>
    </w:pPr>
    <w:rPr>
      <w:sz w:val="18"/>
      <w:szCs w:val="18"/>
    </w:rPr>
  </w:style>
  <w:style w:type="paragraph" w:customStyle="1" w:styleId="ListNumberTable2">
    <w:name w:val="List Number Table 2"/>
    <w:basedOn w:val="Normal"/>
    <w:semiHidden/>
    <w:pPr>
      <w:numPr>
        <w:numId w:val="16"/>
      </w:numPr>
    </w:pPr>
  </w:style>
  <w:style w:type="character" w:customStyle="1" w:styleId="MacroText1">
    <w:name w:val="Macro Text1"/>
    <w:basedOn w:val="DefaultParagraphFont"/>
    <w:semiHidden/>
    <w:rPr>
      <w:rFonts w:ascii="Arial Bold"/>
      <w:b/>
      <w:caps/>
      <w:color w:val="008000"/>
      <w:sz w:val="20"/>
      <w:u w:val="single" w:color="008000"/>
    </w:rPr>
  </w:style>
  <w:style w:type="paragraph" w:customStyle="1" w:styleId="Matter">
    <w:name w:val="Matter"/>
    <w:basedOn w:val="Normal"/>
    <w:next w:val="BodyText"/>
    <w:semiHidden/>
    <w:locked/>
    <w:pPr>
      <w:spacing w:after="0"/>
    </w:pPr>
  </w:style>
  <w:style w:type="paragraph" w:customStyle="1" w:styleId="MatterName">
    <w:name w:val="Matter Name"/>
    <w:basedOn w:val="Normal"/>
    <w:next w:val="BodyText"/>
    <w:semiHidden/>
    <w:locked/>
    <w:pPr>
      <w:spacing w:after="0"/>
    </w:pPr>
  </w:style>
  <w:style w:type="paragraph" w:customStyle="1" w:styleId="MatterNumber">
    <w:name w:val="Matter Number"/>
    <w:basedOn w:val="Normal"/>
    <w:next w:val="BodyText"/>
    <w:semiHidden/>
    <w:locked/>
    <w:pPr>
      <w:spacing w:after="0"/>
    </w:pPr>
  </w:style>
  <w:style w:type="paragraph" w:customStyle="1" w:styleId="Meaning">
    <w:name w:val="Meaning"/>
    <w:basedOn w:val="Normal"/>
    <w:rPr>
      <w:sz w:val="18"/>
    </w:rPr>
  </w:style>
  <w:style w:type="paragraph" w:styleId="MessageHeader">
    <w:name w:val="Message Header"/>
    <w:basedOn w:val="Normal"/>
    <w:semiHidden/>
    <w:locked/>
  </w:style>
  <w:style w:type="paragraph" w:styleId="NormalWeb">
    <w:name w:val="Normal (Web)"/>
    <w:basedOn w:val="Normal"/>
    <w:uiPriority w:val="99"/>
    <w:semiHidden/>
    <w:locked/>
  </w:style>
  <w:style w:type="paragraph" w:styleId="NormalIndent">
    <w:name w:val="Normal Indent"/>
    <w:basedOn w:val="Normal"/>
    <w:semiHidden/>
    <w:locked/>
    <w:pPr>
      <w:ind w:left="567"/>
    </w:pPr>
  </w:style>
  <w:style w:type="paragraph" w:styleId="NoteHeading">
    <w:name w:val="Note Heading"/>
    <w:basedOn w:val="Normal"/>
    <w:semiHidden/>
    <w:locked/>
  </w:style>
  <w:style w:type="paragraph" w:customStyle="1" w:styleId="NoTOCHdg1">
    <w:name w:val="NoTOCHdg 1"/>
    <w:basedOn w:val="Normal"/>
    <w:next w:val="BodyText"/>
    <w:uiPriority w:val="10"/>
    <w:qFormat/>
    <w:pPr>
      <w:keepNext/>
      <w:numPr>
        <w:numId w:val="2"/>
      </w:numPr>
      <w:pBdr>
        <w:bottom w:val="single" w:sz="8" w:space="4" w:color="auto"/>
      </w:pBdr>
      <w:spacing w:before="600" w:after="240"/>
    </w:pPr>
    <w:rPr>
      <w:sz w:val="28"/>
      <w:szCs w:val="28"/>
    </w:rPr>
  </w:style>
  <w:style w:type="paragraph" w:customStyle="1" w:styleId="NoTOCHdg2">
    <w:name w:val="NoTOCHdg 2"/>
    <w:basedOn w:val="Normal"/>
    <w:next w:val="BodyText"/>
    <w:uiPriority w:val="11"/>
    <w:qFormat/>
    <w:pPr>
      <w:keepNext/>
      <w:numPr>
        <w:ilvl w:val="1"/>
        <w:numId w:val="2"/>
      </w:numPr>
      <w:spacing w:before="240" w:after="240"/>
    </w:pPr>
    <w:rPr>
      <w:b/>
      <w:sz w:val="24"/>
      <w:szCs w:val="24"/>
    </w:rPr>
  </w:style>
  <w:style w:type="paragraph" w:customStyle="1" w:styleId="NoTOCHdg3">
    <w:name w:val="NoTOCHdg 3"/>
    <w:basedOn w:val="Normal"/>
    <w:next w:val="BodyTextIndent"/>
    <w:uiPriority w:val="12"/>
    <w:qFormat/>
    <w:pPr>
      <w:numPr>
        <w:ilvl w:val="2"/>
        <w:numId w:val="2"/>
      </w:numPr>
      <w:spacing w:before="120"/>
    </w:pPr>
  </w:style>
  <w:style w:type="paragraph" w:customStyle="1" w:styleId="NoTOCHdg4">
    <w:name w:val="NoTOCHdg 4"/>
    <w:basedOn w:val="Normal"/>
    <w:next w:val="BodyTextIndent2"/>
    <w:uiPriority w:val="13"/>
    <w:qFormat/>
    <w:pPr>
      <w:numPr>
        <w:ilvl w:val="3"/>
        <w:numId w:val="2"/>
      </w:numPr>
      <w:spacing w:before="120"/>
    </w:pPr>
  </w:style>
  <w:style w:type="character" w:styleId="PageNumber">
    <w:name w:val="page number"/>
    <w:basedOn w:val="DefaultParagraphFont"/>
    <w:semiHidden/>
    <w:locked/>
  </w:style>
  <w:style w:type="paragraph" w:customStyle="1" w:styleId="Pages">
    <w:name w:val="Pages"/>
    <w:basedOn w:val="FormValue"/>
    <w:semiHidden/>
    <w:locked/>
  </w:style>
  <w:style w:type="paragraph" w:customStyle="1" w:styleId="Party1">
    <w:name w:val="Party 1"/>
    <w:basedOn w:val="Normal"/>
    <w:semiHidden/>
    <w:locked/>
    <w:pPr>
      <w:spacing w:after="240"/>
    </w:pPr>
    <w:rPr>
      <w:sz w:val="22"/>
    </w:rPr>
  </w:style>
  <w:style w:type="paragraph" w:customStyle="1" w:styleId="Party2">
    <w:name w:val="Party 2"/>
    <w:basedOn w:val="Normal"/>
    <w:next w:val="CellText"/>
    <w:semiHidden/>
    <w:locked/>
    <w:rPr>
      <w:b/>
      <w:sz w:val="18"/>
    </w:rPr>
  </w:style>
  <w:style w:type="paragraph" w:customStyle="1" w:styleId="Party3">
    <w:name w:val="Party 3"/>
    <w:basedOn w:val="Normal"/>
    <w:semiHidden/>
    <w:pPr>
      <w:keepNext/>
      <w:spacing w:after="0"/>
    </w:pPr>
    <w:rPr>
      <w:b/>
      <w:sz w:val="22"/>
    </w:rPr>
  </w:style>
  <w:style w:type="paragraph" w:customStyle="1" w:styleId="PartyAddress">
    <w:name w:val="Party Address"/>
    <w:basedOn w:val="Normal"/>
    <w:next w:val="CellText"/>
    <w:semiHidden/>
    <w:locked/>
    <w:rPr>
      <w:sz w:val="18"/>
    </w:rPr>
  </w:style>
  <w:style w:type="paragraph" w:customStyle="1" w:styleId="PartyAlias">
    <w:name w:val="Party Alias"/>
    <w:basedOn w:val="Normal"/>
    <w:next w:val="CellText"/>
    <w:semiHidden/>
    <w:locked/>
    <w:rPr>
      <w:b/>
      <w:sz w:val="18"/>
    </w:rPr>
  </w:style>
  <w:style w:type="paragraph" w:customStyle="1" w:styleId="PartyCategory1">
    <w:name w:val="Party Category 1"/>
    <w:basedOn w:val="Normal"/>
    <w:next w:val="BodyText"/>
    <w:semiHidden/>
    <w:rPr>
      <w:b/>
    </w:rPr>
  </w:style>
  <w:style w:type="paragraph" w:customStyle="1" w:styleId="PartyCategory2">
    <w:name w:val="Party Category 2"/>
    <w:basedOn w:val="Normal"/>
    <w:next w:val="BodyText"/>
    <w:semiHidden/>
    <w:rPr>
      <w:b/>
      <w:sz w:val="22"/>
    </w:rPr>
  </w:style>
  <w:style w:type="paragraph" w:customStyle="1" w:styleId="PartyContact">
    <w:name w:val="Party Contact"/>
    <w:basedOn w:val="Normal"/>
    <w:next w:val="CellText"/>
    <w:semiHidden/>
    <w:locked/>
    <w:rPr>
      <w:sz w:val="18"/>
    </w:rPr>
  </w:style>
  <w:style w:type="paragraph" w:customStyle="1" w:styleId="PartyDetails">
    <w:name w:val="Party Details"/>
    <w:basedOn w:val="Normal"/>
    <w:next w:val="CellText"/>
    <w:semiHidden/>
    <w:locked/>
    <w:rPr>
      <w:sz w:val="18"/>
    </w:rPr>
  </w:style>
  <w:style w:type="paragraph" w:customStyle="1" w:styleId="PartyEmail">
    <w:name w:val="Party Email"/>
    <w:basedOn w:val="Normal"/>
    <w:next w:val="CellText"/>
    <w:semiHidden/>
    <w:locked/>
    <w:rPr>
      <w:sz w:val="18"/>
    </w:rPr>
  </w:style>
  <w:style w:type="paragraph" w:customStyle="1" w:styleId="PartyFax">
    <w:name w:val="Party Fax"/>
    <w:basedOn w:val="Normal"/>
    <w:next w:val="CellText"/>
    <w:semiHidden/>
    <w:locked/>
    <w:rPr>
      <w:sz w:val="18"/>
    </w:rPr>
  </w:style>
  <w:style w:type="paragraph" w:customStyle="1" w:styleId="PartyPhone">
    <w:name w:val="Party Phone"/>
    <w:basedOn w:val="Normal"/>
    <w:next w:val="CellText"/>
    <w:semiHidden/>
    <w:locked/>
    <w:rPr>
      <w:sz w:val="18"/>
    </w:rPr>
  </w:style>
  <w:style w:type="paragraph" w:customStyle="1" w:styleId="Recipient1">
    <w:name w:val="Recipient 1"/>
    <w:basedOn w:val="Normal"/>
    <w:next w:val="BodyText"/>
    <w:semiHidden/>
    <w:locked/>
    <w:pPr>
      <w:spacing w:after="0"/>
    </w:pPr>
  </w:style>
  <w:style w:type="paragraph" w:customStyle="1" w:styleId="Recipient2">
    <w:name w:val="Recipient 2"/>
    <w:basedOn w:val="Recipient1"/>
    <w:next w:val="BodyText"/>
    <w:semiHidden/>
    <w:locked/>
  </w:style>
  <w:style w:type="paragraph" w:customStyle="1" w:styleId="RecipientAddress">
    <w:name w:val="Recipient Address"/>
    <w:basedOn w:val="Normal"/>
    <w:semiHidden/>
    <w:locked/>
    <w:pPr>
      <w:spacing w:after="0"/>
    </w:pPr>
  </w:style>
  <w:style w:type="paragraph" w:customStyle="1" w:styleId="RecipientCompany">
    <w:name w:val="Recipient Company"/>
    <w:basedOn w:val="Normal"/>
    <w:next w:val="BodyText"/>
    <w:semiHidden/>
    <w:locked/>
    <w:pPr>
      <w:spacing w:after="0"/>
    </w:pPr>
  </w:style>
  <w:style w:type="paragraph" w:customStyle="1" w:styleId="RecipientEmail">
    <w:name w:val="Recipient Email"/>
    <w:basedOn w:val="Normal"/>
    <w:next w:val="BodyText"/>
    <w:semiHidden/>
    <w:locked/>
    <w:pPr>
      <w:spacing w:after="0"/>
    </w:pPr>
  </w:style>
  <w:style w:type="paragraph" w:customStyle="1" w:styleId="RecipientFax">
    <w:name w:val="Recipient Fax"/>
    <w:basedOn w:val="Normal"/>
    <w:next w:val="BodyText"/>
    <w:semiHidden/>
    <w:locked/>
    <w:pPr>
      <w:tabs>
        <w:tab w:val="left" w:pos="1134"/>
      </w:tabs>
      <w:spacing w:after="0"/>
    </w:pPr>
    <w:rPr>
      <w:b/>
    </w:rPr>
  </w:style>
  <w:style w:type="paragraph" w:customStyle="1" w:styleId="RecipientPhone">
    <w:name w:val="Recipient Phone"/>
    <w:basedOn w:val="Normal"/>
    <w:next w:val="BodyText"/>
    <w:semiHidden/>
    <w:locked/>
    <w:pPr>
      <w:tabs>
        <w:tab w:val="left" w:pos="1134"/>
      </w:tabs>
      <w:spacing w:after="0"/>
    </w:pPr>
  </w:style>
  <w:style w:type="paragraph" w:customStyle="1" w:styleId="RecipientPosition">
    <w:name w:val="Recipient Position"/>
    <w:basedOn w:val="Normal"/>
    <w:next w:val="BodyText"/>
    <w:semiHidden/>
    <w:locked/>
    <w:pPr>
      <w:spacing w:after="0"/>
    </w:pPr>
  </w:style>
  <w:style w:type="paragraph" w:customStyle="1" w:styleId="Remarks">
    <w:name w:val="Remarks"/>
    <w:basedOn w:val="Normal"/>
    <w:semiHidden/>
    <w:locked/>
    <w:pPr>
      <w:spacing w:after="240"/>
    </w:pPr>
    <w:rPr>
      <w:sz w:val="22"/>
    </w:rPr>
  </w:style>
  <w:style w:type="paragraph" w:styleId="Salutation">
    <w:name w:val="Salutation"/>
    <w:basedOn w:val="Normal"/>
    <w:next w:val="BodyText"/>
    <w:semiHidden/>
    <w:locked/>
    <w:pPr>
      <w:spacing w:after="240"/>
      <w:ind w:left="851"/>
    </w:pPr>
  </w:style>
  <w:style w:type="paragraph" w:customStyle="1" w:styleId="Schedule">
    <w:name w:val="Schedule"/>
    <w:basedOn w:val="Normal"/>
    <w:next w:val="BodyText"/>
    <w:pPr>
      <w:pBdr>
        <w:bottom w:val="single" w:sz="8" w:space="10" w:color="auto"/>
      </w:pBdr>
      <w:spacing w:before="600" w:after="240"/>
      <w:ind w:left="851"/>
    </w:pPr>
    <w:rPr>
      <w:sz w:val="28"/>
    </w:rPr>
  </w:style>
  <w:style w:type="paragraph" w:customStyle="1" w:styleId="Separator">
    <w:name w:val="Separator"/>
    <w:basedOn w:val="Normal"/>
    <w:semiHidden/>
    <w:locked/>
    <w:pPr>
      <w:spacing w:after="0"/>
    </w:pPr>
    <w:rPr>
      <w:sz w:val="16"/>
    </w:rPr>
  </w:style>
  <w:style w:type="paragraph" w:styleId="Signature">
    <w:name w:val="Signature"/>
    <w:basedOn w:val="Normal"/>
    <w:semiHidden/>
    <w:locked/>
  </w:style>
  <w:style w:type="paragraph" w:customStyle="1" w:styleId="SignOff">
    <w:name w:val="Sign Off"/>
    <w:basedOn w:val="Normal"/>
    <w:next w:val="BodyText"/>
    <w:semiHidden/>
    <w:locked/>
    <w:pPr>
      <w:spacing w:before="360"/>
      <w:ind w:left="851"/>
    </w:pPr>
  </w:style>
  <w:style w:type="paragraph" w:customStyle="1" w:styleId="StartText">
    <w:name w:val="Start Text"/>
    <w:basedOn w:val="BodyText"/>
    <w:next w:val="BodyText"/>
    <w:semiHidden/>
    <w:locked/>
    <w:pPr>
      <w:spacing w:before="600"/>
    </w:pPr>
  </w:style>
  <w:style w:type="paragraph" w:customStyle="1" w:styleId="Status">
    <w:name w:val="Status"/>
    <w:basedOn w:val="Normal"/>
    <w:semiHidden/>
    <w:locked/>
    <w:rPr>
      <w:sz w:val="22"/>
    </w:rPr>
  </w:style>
  <w:style w:type="paragraph" w:customStyle="1" w:styleId="Status2">
    <w:name w:val="Status 2"/>
    <w:basedOn w:val="Normal"/>
    <w:semiHidden/>
    <w:locked/>
    <w:pPr>
      <w:spacing w:after="0"/>
      <w:ind w:left="851"/>
    </w:pPr>
    <w:rPr>
      <w:sz w:val="22"/>
    </w:rPr>
  </w:style>
  <w:style w:type="paragraph" w:customStyle="1" w:styleId="Status3">
    <w:name w:val="Status 3"/>
    <w:basedOn w:val="Normal"/>
    <w:semiHidden/>
    <w:locked/>
    <w:rPr>
      <w:sz w:val="22"/>
    </w:rPr>
  </w:style>
  <w:style w:type="paragraph" w:customStyle="1" w:styleId="Status4">
    <w:name w:val="Status 4"/>
    <w:basedOn w:val="Normal"/>
    <w:semiHidden/>
    <w:locked/>
    <w:pPr>
      <w:ind w:left="851"/>
    </w:pPr>
    <w:rPr>
      <w:sz w:val="22"/>
    </w:rPr>
  </w:style>
  <w:style w:type="paragraph" w:customStyle="1" w:styleId="staybox">
    <w:name w:val="staybox"/>
    <w:basedOn w:val="greybox"/>
    <w:semiHidden/>
  </w:style>
  <w:style w:type="character" w:styleId="Strong">
    <w:name w:val="Strong"/>
    <w:basedOn w:val="DefaultParagraphFont"/>
    <w:rPr>
      <w:b/>
    </w:rPr>
  </w:style>
  <w:style w:type="character" w:customStyle="1" w:styleId="StrongEmphasis">
    <w:name w:val="Strong Emphasis"/>
    <w:basedOn w:val="DefaultParagraphFont"/>
    <w:rPr>
      <w:b/>
      <w:i/>
    </w:rPr>
  </w:style>
  <w:style w:type="paragraph" w:customStyle="1" w:styleId="Subject">
    <w:name w:val="Subject"/>
    <w:basedOn w:val="Normal"/>
    <w:semiHidden/>
    <w:locked/>
    <w:pPr>
      <w:spacing w:after="0"/>
    </w:pPr>
    <w:rPr>
      <w:b/>
      <w:sz w:val="24"/>
    </w:rPr>
  </w:style>
  <w:style w:type="paragraph" w:customStyle="1" w:styleId="Subject2">
    <w:name w:val="Subject 2"/>
    <w:basedOn w:val="Normal"/>
    <w:semiHidden/>
    <w:locked/>
    <w:rPr>
      <w:sz w:val="44"/>
    </w:rPr>
  </w:style>
  <w:style w:type="paragraph" w:customStyle="1" w:styleId="Subject3">
    <w:name w:val="Subject 3"/>
    <w:basedOn w:val="Normal"/>
    <w:semiHidden/>
    <w:locked/>
    <w:pPr>
      <w:spacing w:after="240"/>
    </w:pPr>
    <w:rPr>
      <w:sz w:val="36"/>
    </w:rPr>
  </w:style>
  <w:style w:type="paragraph" w:customStyle="1" w:styleId="Subject4">
    <w:name w:val="Subject 4"/>
    <w:basedOn w:val="Normal"/>
    <w:next w:val="BodyText"/>
    <w:semiHidden/>
    <w:pPr>
      <w:pBdr>
        <w:bottom w:val="single" w:sz="8" w:space="10" w:color="auto"/>
      </w:pBdr>
      <w:spacing w:before="600" w:after="240"/>
      <w:ind w:left="851"/>
    </w:pPr>
    <w:rPr>
      <w:sz w:val="28"/>
    </w:rPr>
  </w:style>
  <w:style w:type="paragraph" w:customStyle="1" w:styleId="Subject5">
    <w:name w:val="Subject 5"/>
    <w:basedOn w:val="Normal"/>
    <w:semiHidden/>
    <w:locked/>
    <w:pPr>
      <w:spacing w:after="240"/>
      <w:ind w:left="851"/>
    </w:pPr>
    <w:rPr>
      <w:b/>
      <w:sz w:val="24"/>
    </w:rPr>
  </w:style>
  <w:style w:type="table" w:styleId="Table3Deffects1">
    <w:name w:val="Table 3D effects 1"/>
    <w:basedOn w:val="TableNormal"/>
    <w:semiHidden/>
    <w:locked/>
    <w:tblPr/>
    <w:tcPr>
      <w:shd w:val="solid" w:color="C0C0C0" w:fill="FFFFFF"/>
    </w:tcPr>
    <w:tblStylePr w:type="firstRow">
      <w:rPr>
        <w:b/>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tblPr>
      <w:tblStyleRowBandSize w:val="1"/>
    </w:tblPr>
    <w:tcPr>
      <w:shd w:val="solid" w:color="C0C0C0" w:fill="FFFFFF"/>
    </w:tcPr>
    <w:tblStylePr w:type="firstRow">
      <w:rPr>
        <w:b/>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3Deffects3">
    <w:name w:val="Table 3D effects 3"/>
    <w:basedOn w:val="TableNormal"/>
    <w:semiHidden/>
    <w:locked/>
    <w:tblPr>
      <w:tblStyleRowBandSize w:val="1"/>
      <w:tblStyleColBandSize w:val="1"/>
    </w:tblPr>
    <w:tblStylePr w:type="firstRow">
      <w:rPr>
        <w:b/>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clear"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customStyle="1" w:styleId="TableAddressees">
    <w:name w:val="Table Addressees"/>
    <w:basedOn w:val="TableNormal"/>
    <w:semiHidden/>
    <w:locked/>
    <w:tblPr>
      <w:tblCellMar>
        <w:left w:w="0" w:type="dxa"/>
        <w:bottom w:w="454" w:type="dxa"/>
        <w:right w:w="0" w:type="dxa"/>
      </w:tblCellMar>
    </w:tblPr>
    <w:tblStylePr w:type="lastCol">
      <w:pPr>
        <w:jc w:val="right"/>
      </w:pPr>
    </w:tblStylePr>
  </w:style>
  <w:style w:type="table" w:customStyle="1" w:styleId="TableAuthors">
    <w:name w:val="Table Authors"/>
    <w:basedOn w:val="TableNormal"/>
    <w:semiHidden/>
    <w:locked/>
    <w:tblPr>
      <w:tblInd w:w="851" w:type="dxa"/>
      <w:tblCellMar>
        <w:top w:w="908" w:type="dxa"/>
        <w:left w:w="0" w:type="dxa"/>
        <w:right w:w="0" w:type="dxa"/>
      </w:tblCellMar>
    </w:tblPr>
  </w:style>
  <w:style w:type="table" w:styleId="TableClassic1">
    <w:name w:val="Table Classic 1"/>
    <w:basedOn w:val="TableNormal"/>
    <w:semiHidden/>
    <w:locke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i w:val="0"/>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Classic2">
    <w:name w:val="Table Classic 2"/>
    <w:basedOn w:val="TableNormal"/>
    <w:semiHidden/>
    <w:lock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rPr>
      <w:tblPr/>
      <w:tcPr>
        <w:tcBorders>
          <w:tl2br w:val="none" w:sz="0" w:space="0" w:color="auto"/>
          <w:tr2bl w:val="none" w:sz="0" w:space="0" w:color="auto"/>
        </w:tcBorders>
        <w:shd w:val="solid" w:color="C0C0C0" w:fill="FFFFFF"/>
      </w:tcPr>
    </w:tblStylePr>
    <w:tblStylePr w:type="neCell">
      <w:rPr>
        <w:b/>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color w:val="000000"/>
      </w:rPr>
      <w:tblPr/>
      <w:tcPr>
        <w:tcBorders>
          <w:tl2br w:val="none" w:sz="0" w:space="0" w:color="auto"/>
          <w:tr2bl w:val="none" w:sz="0" w:space="0" w:color="auto"/>
        </w:tcBorders>
      </w:tcPr>
    </w:tblStylePr>
  </w:style>
  <w:style w:type="table" w:styleId="TableClassic4">
    <w:name w:val="Table Classic 4"/>
    <w:basedOn w:val="TableNormal"/>
    <w:semiHidden/>
    <w:lock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i/>
        <w:color w:val="FFFFFF"/>
      </w:rPr>
      <w:tblPr/>
      <w:tcPr>
        <w:tcBorders>
          <w:bottom w:val="single" w:sz="6" w:space="0" w:color="000000"/>
          <w:tl2br w:val="none" w:sz="0" w:space="0" w:color="auto"/>
          <w:tr2bl w:val="none" w:sz="0" w:space="0" w:color="auto"/>
        </w:tcBorders>
        <w:shd w:val="clear" w:color="000080" w:fill="FFFFFF"/>
      </w:tcPr>
    </w:tblStylePr>
    <w:tblStylePr w:type="lastRow">
      <w:rPr>
        <w:color w:val="000080"/>
      </w:rPr>
      <w:tblPr/>
      <w:tcPr>
        <w:tcBorders>
          <w:bottom w:val="single" w:sz="6" w:space="0" w:color="000000"/>
          <w:tl2br w:val="none" w:sz="0" w:space="0" w:color="auto"/>
          <w:tr2bl w:val="none" w:sz="0" w:space="0" w:color="auto"/>
        </w:tcBorders>
        <w:shd w:val="clear" w:color="000000" w:fill="FFFFFF"/>
      </w:tcPr>
    </w:tblStylePr>
    <w:tblStylePr w:type="firstCol">
      <w:rPr>
        <w:b/>
      </w:rPr>
      <w:tblPr/>
      <w:tcPr>
        <w:tcBorders>
          <w:tl2br w:val="none" w:sz="0" w:space="0" w:color="auto"/>
          <w:tr2bl w:val="none" w:sz="0" w:space="0" w:color="auto"/>
        </w:tcBorders>
      </w:tcPr>
    </w:tblStylePr>
    <w:tblStylePr w:type="nwCell">
      <w:rPr>
        <w:b/>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i/>
      </w:rPr>
      <w:tblPr/>
      <w:tcPr>
        <w:tcBorders>
          <w:tl2br w:val="none" w:sz="0" w:space="0" w:color="auto"/>
          <w:tr2bl w:val="none" w:sz="0" w:space="0" w:color="auto"/>
        </w:tcBorders>
        <w:shd w:val="solid" w:color="000000" w:fill="FFFFFF"/>
      </w:tcPr>
    </w:tblStylePr>
    <w:tblStylePr w:type="firstCol">
      <w:rPr>
        <w:b/>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i w:val="0"/>
      </w:rPr>
      <w:tblPr/>
      <w:tcPr>
        <w:tcBorders>
          <w:tl2br w:val="none" w:sz="0" w:space="0" w:color="auto"/>
          <w:tr2bl w:val="none" w:sz="0" w:space="0" w:color="auto"/>
        </w:tcBorders>
      </w:tcPr>
    </w:tblStylePr>
  </w:style>
  <w:style w:type="table" w:styleId="TableColorful2">
    <w:name w:val="Table Colorful 2"/>
    <w:basedOn w:val="TableNormal"/>
    <w:semiHidden/>
    <w:locked/>
    <w:tblPr>
      <w:tblBorders>
        <w:bottom w:val="single" w:sz="12" w:space="0" w:color="000000"/>
      </w:tblBorders>
    </w:tblPr>
    <w:tcPr>
      <w:shd w:val="clear" w:color="FFFF00" w:fill="FFFFFF"/>
    </w:tcPr>
    <w:tblStylePr w:type="firstRow">
      <w:rPr>
        <w:b/>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i w:val="0"/>
      </w:rPr>
      <w:tblPr/>
      <w:tcPr>
        <w:tcBorders>
          <w:tl2br w:val="none" w:sz="0" w:space="0" w:color="auto"/>
          <w:tr2bl w:val="none" w:sz="0" w:space="0" w:color="auto"/>
        </w:tcBorders>
      </w:tcPr>
    </w:tblStylePr>
  </w:style>
  <w:style w:type="table" w:styleId="TableColorful3">
    <w:name w:val="Table Colorful 3"/>
    <w:basedOn w:val="TableNormal"/>
    <w:semiHidden/>
    <w:lock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clear"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rPr>
      <w:tblPr/>
      <w:tcPr>
        <w:tcBorders>
          <w:bottom w:val="double" w:sz="6" w:space="0" w:color="000000"/>
          <w:tl2br w:val="none" w:sz="0" w:space="0" w:color="auto"/>
          <w:tr2bl w:val="none" w:sz="0" w:space="0" w:color="auto"/>
        </w:tcBorders>
      </w:tcPr>
    </w:tblStylePr>
    <w:tblStylePr w:type="lastRow">
      <w:rPr>
        <w:b w:val="0"/>
      </w:rPr>
      <w:tblPr/>
      <w:tcPr>
        <w:tcBorders>
          <w:tl2br w:val="none" w:sz="0" w:space="0" w:color="auto"/>
          <w:tr2bl w:val="none" w:sz="0" w:space="0" w:color="auto"/>
        </w:tcBorders>
      </w:tcPr>
    </w:tblStylePr>
    <w:tblStylePr w:type="firstCol">
      <w:rPr>
        <w:b w:val="0"/>
      </w:rPr>
      <w:tblPr/>
      <w:tcPr>
        <w:tcBorders>
          <w:tl2br w:val="none" w:sz="0" w:space="0" w:color="auto"/>
          <w:tr2bl w:val="none" w:sz="0" w:space="0" w:color="auto"/>
        </w:tcBorders>
      </w:tcPr>
    </w:tblStylePr>
    <w:tblStylePr w:type="lastCol">
      <w:rPr>
        <w:b w:val="0"/>
      </w:rPr>
      <w:tblPr/>
      <w:tcPr>
        <w:tcBorders>
          <w:tl2br w:val="none" w:sz="0" w:space="0" w:color="auto"/>
          <w:tr2bl w:val="none" w:sz="0" w:space="0" w:color="auto"/>
        </w:tcBorders>
      </w:tcPr>
    </w:tblStylePr>
    <w:tblStylePr w:type="band1Vert">
      <w:rPr>
        <w:color w:val="auto"/>
      </w:rPr>
      <w:tblPr/>
      <w:tcPr>
        <w:shd w:val="clear" w:color="000000" w:fill="FFFFFF"/>
      </w:tcPr>
    </w:tblStylePr>
    <w:tblStylePr w:type="band2Vert">
      <w:rPr>
        <w:color w:val="auto"/>
      </w:rPr>
      <w:tblPr/>
      <w:tcPr>
        <w:shd w:val="clear" w:color="FFFF00" w:fill="FFFFFF"/>
      </w:tcPr>
    </w:tblStylePr>
    <w:tblStylePr w:type="neCell">
      <w:rPr>
        <w:b/>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Columns2">
    <w:name w:val="Table Columns 2"/>
    <w:basedOn w:val="TableNormal"/>
    <w:semiHidden/>
    <w:locked/>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rPr>
      <w:tblPr/>
      <w:tcPr>
        <w:tcBorders>
          <w:tl2br w:val="none" w:sz="0" w:space="0" w:color="auto"/>
          <w:tr2bl w:val="none" w:sz="0" w:space="0" w:color="auto"/>
        </w:tcBorders>
      </w:tcPr>
    </w:tblStylePr>
    <w:tblStylePr w:type="firstCol">
      <w:rPr>
        <w:b w:val="0"/>
        <w:color w:val="000000"/>
      </w:rPr>
      <w:tblPr/>
      <w:tcPr>
        <w:tcBorders>
          <w:tl2br w:val="none" w:sz="0" w:space="0" w:color="auto"/>
          <w:tr2bl w:val="none" w:sz="0" w:space="0" w:color="auto"/>
        </w:tcBorders>
      </w:tcPr>
    </w:tblStylePr>
    <w:tblStylePr w:type="lastCol">
      <w:rPr>
        <w:b w:val="0"/>
      </w:rPr>
      <w:tblPr/>
      <w:tcPr>
        <w:tcBorders>
          <w:tl2br w:val="none" w:sz="0" w:space="0" w:color="auto"/>
          <w:tr2bl w:val="none" w:sz="0" w:space="0" w:color="auto"/>
        </w:tcBorders>
      </w:tcPr>
    </w:tblStylePr>
    <w:tblStylePr w:type="band1Vert">
      <w:rPr>
        <w:color w:val="auto"/>
      </w:rPr>
      <w:tblPr/>
      <w:tcPr>
        <w:shd w:val="clear" w:color="000000" w:fill="FFFFFF"/>
      </w:tcPr>
    </w:tblStylePr>
    <w:tblStylePr w:type="band2Vert">
      <w:rPr>
        <w:color w:val="auto"/>
      </w:rPr>
      <w:tblPr/>
      <w:tcPr>
        <w:shd w:val="clear" w:color="00FF00" w:fill="FFFFFF"/>
      </w:tcPr>
    </w:tblStylePr>
    <w:tblStylePr w:type="neCell">
      <w:rPr>
        <w:b/>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Columns3">
    <w:name w:val="Table Columns 3"/>
    <w:basedOn w:val="TableNormal"/>
    <w:semiHidden/>
    <w:locked/>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rPr>
      <w:tblPr/>
      <w:tcPr>
        <w:tcBorders>
          <w:top w:val="single" w:sz="6" w:space="0" w:color="000080"/>
          <w:tl2br w:val="none" w:sz="0" w:space="0" w:color="auto"/>
          <w:tr2bl w:val="none" w:sz="0" w:space="0" w:color="auto"/>
        </w:tcBorders>
      </w:tcPr>
    </w:tblStylePr>
    <w:tblStylePr w:type="firstCol">
      <w:rPr>
        <w:b w:val="0"/>
      </w:rPr>
      <w:tblPr/>
      <w:tcPr>
        <w:tcBorders>
          <w:tl2br w:val="none" w:sz="0" w:space="0" w:color="auto"/>
          <w:tr2bl w:val="none" w:sz="0" w:space="0" w:color="auto"/>
        </w:tcBorders>
      </w:tcPr>
    </w:tblStylePr>
    <w:tblStylePr w:type="lastCol">
      <w:rPr>
        <w:b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clear" w:color="000000" w:fill="FFFFFF"/>
      </w:tcPr>
    </w:tblStylePr>
    <w:tblStylePr w:type="neCell">
      <w:rPr>
        <w:b/>
      </w:rPr>
      <w:tblPr/>
      <w:tcPr>
        <w:tcBorders>
          <w:tl2br w:val="none" w:sz="0" w:space="0" w:color="auto"/>
          <w:tr2bl w:val="none" w:sz="0" w:space="0" w:color="auto"/>
        </w:tcBorders>
      </w:tcPr>
    </w:tblStylePr>
  </w:style>
  <w:style w:type="table" w:styleId="TableColumns4">
    <w:name w:val="Table Columns 4"/>
    <w:basedOn w:val="TableNormal"/>
    <w:semiHidden/>
    <w:lock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tblStylePr w:type="band1Vert">
      <w:rPr>
        <w:color w:val="auto"/>
      </w:rPr>
      <w:tblPr/>
      <w:tcPr>
        <w:shd w:val="clear" w:color="008080" w:fill="FFFFFF"/>
      </w:tcPr>
    </w:tblStylePr>
    <w:tblStylePr w:type="band2Vert">
      <w:rPr>
        <w:color w:val="auto"/>
      </w:rPr>
      <w:tblPr/>
      <w:tcPr>
        <w:shd w:val="clear" w:color="000000" w:fill="FFFFFF"/>
      </w:tcPr>
    </w:tblStylePr>
  </w:style>
  <w:style w:type="table" w:styleId="TableColumns5">
    <w:name w:val="Table Columns 5"/>
    <w:basedOn w:val="TableNormal"/>
    <w:semiHidden/>
    <w:lock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i/>
      </w:rPr>
      <w:tblPr/>
      <w:tcPr>
        <w:tcBorders>
          <w:bottom w:val="single" w:sz="6" w:space="0" w:color="808080"/>
          <w:tl2br w:val="none" w:sz="0" w:space="0" w:color="auto"/>
          <w:tr2bl w:val="none" w:sz="0" w:space="0" w:color="auto"/>
        </w:tcBorders>
      </w:tcPr>
    </w:tblStylePr>
    <w:tblStylePr w:type="lastRow">
      <w:rPr>
        <w:b/>
      </w:rPr>
      <w:tblPr/>
      <w:tcPr>
        <w:tcBorders>
          <w:top w:val="single" w:sz="6" w:space="0" w:color="80808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tblPr>
      <w:tblStyleRowBandSize w:val="1"/>
      <w:tblBorders>
        <w:insideH w:val="single" w:sz="18" w:space="0" w:color="FFFFFF"/>
        <w:insideV w:val="single" w:sz="18" w:space="0" w:color="FFFFFF"/>
      </w:tblBorders>
    </w:tblPr>
    <w:tblStylePr w:type="firstRow">
      <w:rPr>
        <w:b/>
        <w:color w:val="auto"/>
      </w:rPr>
      <w:tblPr/>
      <w:tcPr>
        <w:tcBorders>
          <w:tl2br w:val="none" w:sz="0" w:space="0" w:color="auto"/>
          <w:tr2bl w:val="none" w:sz="0" w:space="0" w:color="auto"/>
        </w:tcBorders>
        <w:shd w:val="clear" w:color="000000" w:fill="FFFFFF"/>
      </w:tcPr>
    </w:tblStylePr>
    <w:tblStylePr w:type="band1Horz">
      <w:rPr>
        <w:color w:val="auto"/>
      </w:rPr>
      <w:tblPr/>
      <w:tcPr>
        <w:tcBorders>
          <w:tl2br w:val="none" w:sz="0" w:space="0" w:color="auto"/>
          <w:tr2bl w:val="none" w:sz="0" w:space="0" w:color="auto"/>
        </w:tcBorders>
        <w:shd w:val="clear" w:color="000000" w:fill="FFFFFF"/>
      </w:tcPr>
    </w:tblStylePr>
    <w:tblStylePr w:type="band2Horz">
      <w:rPr>
        <w:color w:val="auto"/>
      </w:rPr>
      <w:tblPr/>
      <w:tcPr>
        <w:tcBorders>
          <w:tl2br w:val="none" w:sz="0" w:space="0" w:color="auto"/>
          <w:tr2bl w:val="none" w:sz="0" w:space="0" w:color="auto"/>
        </w:tcBorders>
        <w:shd w:val="clear" w:color="000000" w:fill="FFFFFF"/>
      </w:tcPr>
    </w:tblStylePr>
  </w:style>
  <w:style w:type="table" w:customStyle="1" w:styleId="TableCorrespondence1">
    <w:name w:val="Table Correspondence 1"/>
    <w:basedOn w:val="TableNormal"/>
    <w:semiHidden/>
    <w:locked/>
    <w:tblPr>
      <w:tblStyleRowBandSize w:val="1"/>
      <w:tblCellMar>
        <w:top w:w="284" w:type="dxa"/>
        <w:left w:w="0" w:type="dxa"/>
        <w:bottom w:w="284" w:type="dxa"/>
        <w:right w:w="0" w:type="dxa"/>
      </w:tblCellMar>
    </w:tblPr>
    <w:tblStylePr w:type="firstCol">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basedOn w:val="TableNormal"/>
    <w:semiHidden/>
    <w:locked/>
    <w:tblPr>
      <w:tblCellMar>
        <w:left w:w="0" w:type="dxa"/>
        <w:right w:w="0" w:type="dxa"/>
      </w:tblCellMar>
    </w:tblPr>
    <w:tblStylePr w:type="lastRow">
      <w:tblPr>
        <w:tblCellMar>
          <w:top w:w="0" w:type="dxa"/>
          <w:left w:w="0" w:type="dxa"/>
          <w:bottom w:w="284" w:type="dxa"/>
          <w:right w:w="0" w:type="dxa"/>
        </w:tblCellMar>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rrespondence3">
    <w:name w:val="Table Correspondence 3"/>
    <w:basedOn w:val="TableNormal"/>
    <w:semiHidden/>
    <w:locked/>
    <w:tblPr>
      <w:tblCellMar>
        <w:left w:w="0" w:type="dxa"/>
        <w:right w:w="0" w:type="dxa"/>
      </w:tblCellMar>
    </w:tblPr>
  </w:style>
  <w:style w:type="table" w:customStyle="1" w:styleId="TableCorrespondence4">
    <w:name w:val="Table Correspondence 4"/>
    <w:basedOn w:val="TableNormal"/>
    <w:semiHidden/>
    <w:locked/>
    <w:tblPr>
      <w:tblCellMar>
        <w:left w:w="0" w:type="dxa"/>
        <w:bottom w:w="284" w:type="dxa"/>
        <w:right w:w="0" w:type="dxa"/>
      </w:tblCellMar>
    </w:tblPr>
    <w:tblStylePr w:type="lastRow">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ver">
    <w:name w:val="Table Cover"/>
    <w:basedOn w:val="TableNormal"/>
    <w:semiHidden/>
    <w:locked/>
    <w:tblPr>
      <w:tblInd w:w="1701" w:type="dxa"/>
      <w:tblCellMar>
        <w:left w:w="0" w:type="dxa"/>
        <w:right w:w="0" w:type="dxa"/>
      </w:tblCellMar>
    </w:tblPr>
  </w:style>
  <w:style w:type="table" w:styleId="TableElegant">
    <w:name w:val="Table Elegant"/>
    <w:basedOn w:val="TableNormal"/>
    <w:semiHidden/>
    <w:lock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xec1">
    <w:name w:val="Table Exec 1"/>
    <w:basedOn w:val="TableNormal"/>
    <w:semiHidden/>
    <w:locked/>
    <w:rPr>
      <w:sz w:val="18"/>
    </w:rPr>
    <w:tblPr>
      <w:tblCellMar>
        <w:left w:w="0" w:type="dxa"/>
        <w:right w:w="0" w:type="dxa"/>
      </w:tblCellMar>
    </w:tblPr>
    <w:trPr>
      <w:cantSplit/>
    </w:trPr>
  </w:style>
  <w:style w:type="table" w:customStyle="1" w:styleId="TableExec2">
    <w:name w:val="Table Exec 2"/>
    <w:basedOn w:val="TableNormal"/>
    <w:semiHidden/>
    <w:locked/>
    <w:rPr>
      <w:sz w:val="18"/>
    </w:rPr>
    <w:tblPr>
      <w:tblCellMar>
        <w:left w:w="0" w:type="dxa"/>
        <w:right w:w="0" w:type="dxa"/>
      </w:tblCellMar>
    </w:tblPr>
    <w:trPr>
      <w:cantSplit/>
    </w:trPr>
  </w:style>
  <w:style w:type="table" w:customStyle="1" w:styleId="TableExec3">
    <w:name w:val="Table Exec 3"/>
    <w:basedOn w:val="TableNormal"/>
    <w:semiHidden/>
    <w:locked/>
    <w:rPr>
      <w:sz w:val="18"/>
    </w:rPr>
    <w:tblPr>
      <w:tblCellMar>
        <w:left w:w="0" w:type="dxa"/>
        <w:right w:w="0" w:type="dxa"/>
      </w:tblCellMar>
    </w:tblPr>
    <w:trPr>
      <w:cantSplit/>
    </w:trPr>
  </w:style>
  <w:style w:type="table" w:customStyle="1" w:styleId="TableExec4">
    <w:name w:val="Table Exec 4"/>
    <w:basedOn w:val="TableNormal"/>
    <w:semiHidden/>
    <w:locked/>
    <w:rPr>
      <w:sz w:val="18"/>
    </w:rPr>
    <w:tblPr>
      <w:tblCellMar>
        <w:left w:w="0" w:type="dxa"/>
        <w:right w:w="0" w:type="dxa"/>
      </w:tblCellMar>
    </w:tblPr>
    <w:trPr>
      <w:cantSplit/>
    </w:trPr>
  </w:style>
  <w:style w:type="table" w:customStyle="1" w:styleId="TableExec5">
    <w:name w:val="Table Exec 5"/>
    <w:basedOn w:val="TableNormal"/>
    <w:semiHidden/>
    <w:locked/>
    <w:rPr>
      <w:sz w:val="18"/>
    </w:rPr>
    <w:tblPr>
      <w:tblCellMar>
        <w:left w:w="0" w:type="dxa"/>
        <w:right w:w="0" w:type="dxa"/>
      </w:tblCellMar>
    </w:tblPr>
    <w:trPr>
      <w:cantSplit/>
    </w:trPr>
  </w:style>
  <w:style w:type="table" w:customStyle="1" w:styleId="TableExec6">
    <w:name w:val="Table Exec 6"/>
    <w:basedOn w:val="TableNormal"/>
    <w:semiHidden/>
    <w:locked/>
    <w:rPr>
      <w:sz w:val="18"/>
    </w:rPr>
    <w:tblPr>
      <w:tblCellMar>
        <w:left w:w="0" w:type="dxa"/>
        <w:right w:w="0" w:type="dxa"/>
      </w:tblCellMar>
    </w:tblPr>
    <w:trPr>
      <w:cantSplit/>
    </w:trPr>
  </w:style>
  <w:style w:type="table" w:customStyle="1" w:styleId="TableExec7">
    <w:name w:val="Table Exec 7"/>
    <w:basedOn w:val="TableNormal"/>
    <w:semiHidden/>
    <w:locked/>
    <w:rPr>
      <w:sz w:val="18"/>
    </w:rPr>
    <w:tblPr>
      <w:tblCellMar>
        <w:left w:w="0" w:type="dxa"/>
        <w:right w:w="0" w:type="dxa"/>
      </w:tblCellMar>
    </w:tblPr>
    <w:trPr>
      <w:cantSplit/>
    </w:trPr>
  </w:style>
  <w:style w:type="table" w:customStyle="1" w:styleId="TableExec8">
    <w:name w:val="Table Exec 8"/>
    <w:basedOn w:val="TableNormal"/>
    <w:semiHidden/>
    <w:locked/>
    <w:rPr>
      <w:sz w:val="18"/>
    </w:rPr>
    <w:tblPr>
      <w:tblCellMar>
        <w:left w:w="0" w:type="dxa"/>
        <w:right w:w="0" w:type="dxa"/>
      </w:tblCellMar>
    </w:tblPr>
    <w:trPr>
      <w:cantSplit/>
    </w:trPr>
  </w:style>
  <w:style w:type="table" w:customStyle="1" w:styleId="TableExec9">
    <w:name w:val="Table Exec 9"/>
    <w:basedOn w:val="TableNormal"/>
    <w:semiHidden/>
    <w:locked/>
    <w:rPr>
      <w:sz w:val="18"/>
    </w:rPr>
    <w:tblPr>
      <w:tblCellMar>
        <w:left w:w="0" w:type="dxa"/>
        <w:right w:w="0" w:type="dxa"/>
      </w:tblCellMar>
    </w:tblPr>
    <w:trPr>
      <w:cantSplit/>
    </w:trPr>
  </w:style>
  <w:style w:type="table" w:customStyle="1" w:styleId="TableForm">
    <w:name w:val="Table Form"/>
    <w:basedOn w:val="TableNormal"/>
    <w:semiHidden/>
    <w:locked/>
    <w:rPr>
      <w:sz w:val="16"/>
    </w:rPr>
    <w:tblPr>
      <w:jc w:val="center"/>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sz w:val="24"/>
      </w:rPr>
      <w:tblPr>
        <w:tblCellMar>
          <w:top w:w="85" w:type="dxa"/>
          <w:left w:w="57" w:type="dxa"/>
          <w:bottom w:w="85" w:type="dxa"/>
          <w:right w:w="0" w:type="dxa"/>
        </w:tblCellMar>
      </w:tblPr>
      <w:tcPr>
        <w:tcBorders>
          <w:top w:val="nil"/>
          <w:left w:val="nil"/>
          <w:bottom w:val="nil"/>
          <w:right w:val="nil"/>
          <w:insideH w:val="nil"/>
          <w:insideV w:val="nil"/>
          <w:tl2br w:val="nil"/>
          <w:tr2bl w:val="nil"/>
        </w:tcBorders>
        <w:shd w:val="clear" w:color="auto" w:fill="E6E6E6"/>
      </w:tcPr>
    </w:tblStylePr>
  </w:style>
  <w:style w:type="table" w:styleId="TableGrid">
    <w:name w:val="Table Grid"/>
    <w:basedOn w:val="TableNormal"/>
    <w:semiHidden/>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locked/>
    <w:tblPr>
      <w:tblBorders>
        <w:insideH w:val="single" w:sz="6" w:space="0" w:color="000000"/>
        <w:insideV w:val="single" w:sz="6" w:space="0" w:color="000000"/>
      </w:tblBorders>
    </w:tblPr>
    <w:tcPr>
      <w:shd w:val="clear" w:color="auto" w:fill="auto"/>
    </w:tcPr>
    <w:tblStylePr w:type="firstRow">
      <w:rPr>
        <w:b/>
      </w:rPr>
      <w:tblPr/>
      <w:tcPr>
        <w:tcBorders>
          <w:tl2br w:val="none" w:sz="0" w:space="0" w:color="auto"/>
          <w:tr2bl w:val="none" w:sz="0" w:space="0" w:color="auto"/>
        </w:tcBorders>
      </w:tcPr>
    </w:tblStylePr>
    <w:tblStylePr w:type="lastRow">
      <w:rPr>
        <w:b/>
      </w:rPr>
      <w:tblPr/>
      <w:tcPr>
        <w:tcBorders>
          <w:top w:val="single" w:sz="6" w:space="0" w:color="00000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style>
  <w:style w:type="table" w:styleId="TableGrid3">
    <w:name w:val="Table Grid 3"/>
    <w:basedOn w:val="TableNormal"/>
    <w:semiHidden/>
    <w:lock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clear" w:color="FFFF00" w:fill="FFFFFF"/>
      </w:tcPr>
    </w:tblStylePr>
    <w:tblStylePr w:type="lastRow">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style>
  <w:style w:type="table" w:styleId="TableGrid4">
    <w:name w:val="Table Grid 4"/>
    <w:basedOn w:val="TableNormal"/>
    <w:semiHidden/>
    <w:lock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clear" w:color="FFFF00" w:fill="FFFFFF"/>
      </w:tcPr>
    </w:tblStylePr>
    <w:tblStylePr w:type="lastRow">
      <w:rPr>
        <w:b/>
        <w:color w:val="auto"/>
      </w:rPr>
      <w:tblPr/>
      <w:tcPr>
        <w:tcBorders>
          <w:top w:val="single" w:sz="6" w:space="0" w:color="000000"/>
          <w:tl2br w:val="none" w:sz="0" w:space="0" w:color="auto"/>
          <w:tr2bl w:val="none" w:sz="0" w:space="0" w:color="auto"/>
        </w:tcBorders>
        <w:shd w:val="clear" w:color="FFFF00" w:fill="FFFFFF"/>
      </w:tcPr>
    </w:tblStylePr>
    <w:tblStylePr w:type="lastCol">
      <w:rPr>
        <w:b/>
        <w:color w:val="auto"/>
      </w:rPr>
      <w:tblPr/>
      <w:tcPr>
        <w:tcBorders>
          <w:tl2br w:val="none" w:sz="0" w:space="0" w:color="auto"/>
          <w:tr2bl w:val="none" w:sz="0" w:space="0" w:color="auto"/>
        </w:tcBorders>
      </w:tcPr>
    </w:tblStylePr>
  </w:style>
  <w:style w:type="table" w:styleId="TableGrid5">
    <w:name w:val="Table Grid 5"/>
    <w:basedOn w:val="TableNormal"/>
    <w:semiHidden/>
    <w:lock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rPr>
      <w:tblPr/>
      <w:tcPr>
        <w:tcBorders>
          <w:bottom w:val="single" w:sz="12" w:space="0" w:color="000000"/>
          <w:tl2br w:val="none" w:sz="0" w:space="0" w:color="auto"/>
          <w:tr2bl w:val="none" w:sz="0" w:space="0" w:color="auto"/>
        </w:tcBorders>
      </w:tcPr>
    </w:tblStylePr>
    <w:tblStylePr w:type="lastRow">
      <w:rPr>
        <w:b w:val="0"/>
      </w:rPr>
      <w:tblPr/>
      <w:tcPr>
        <w:tcBorders>
          <w:top w:val="single" w:sz="6" w:space="0" w:color="000000"/>
          <w:tl2br w:val="none" w:sz="0" w:space="0" w:color="auto"/>
          <w:tr2bl w:val="none" w:sz="0" w:space="0" w:color="auto"/>
        </w:tcBorders>
      </w:tcPr>
    </w:tblStylePr>
    <w:tblStylePr w:type="firstCol">
      <w:rPr>
        <w:b w:val="0"/>
      </w:rPr>
      <w:tblPr/>
      <w:tcPr>
        <w:tcBorders>
          <w:tl2br w:val="none" w:sz="0" w:space="0" w:color="auto"/>
          <w:tr2bl w:val="none" w:sz="0" w:space="0" w:color="auto"/>
        </w:tcBorders>
      </w:tcPr>
    </w:tblStylePr>
    <w:tblStylePr w:type="lastCol">
      <w:rPr>
        <w:b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color w:val="FFFFFF"/>
      </w:rPr>
      <w:tblPr/>
      <w:tcPr>
        <w:tcBorders>
          <w:tl2br w:val="none" w:sz="0" w:space="0" w:color="auto"/>
          <w:tr2bl w:val="none" w:sz="0" w:space="0" w:color="auto"/>
        </w:tcBorders>
        <w:shd w:val="solid" w:color="000080" w:fill="FFFFFF"/>
      </w:tcPr>
    </w:tblStylePr>
    <w:tblStylePr w:type="lastRow">
      <w:rPr>
        <w:b/>
        <w:color w:val="auto"/>
      </w:rPr>
      <w:tblPr/>
      <w:tcPr>
        <w:tcBorders>
          <w:tl2br w:val="none" w:sz="0" w:space="0" w:color="auto"/>
          <w:tr2bl w:val="none" w:sz="0" w:space="0" w:color="auto"/>
        </w:tcBorders>
      </w:tcPr>
    </w:tblStylePr>
    <w:tblStylePr w:type="lastCol">
      <w:rPr>
        <w:b/>
        <w:color w:val="auto"/>
      </w:rPr>
      <w:tblPr/>
      <w:tcPr>
        <w:tcBorders>
          <w:tl2br w:val="none" w:sz="0" w:space="0" w:color="auto"/>
          <w:tr2bl w:val="none" w:sz="0" w:space="0" w:color="auto"/>
        </w:tcBorders>
      </w:tcPr>
    </w:tblStylePr>
  </w:style>
  <w:style w:type="table" w:customStyle="1" w:styleId="TableLayout1">
    <w:name w:val="Table Layout 1"/>
    <w:basedOn w:val="TableNormal"/>
    <w:semiHidden/>
    <w:locked/>
    <w:tblPr>
      <w:tblCellMar>
        <w:left w:w="0" w:type="dxa"/>
        <w:right w:w="0" w:type="dxa"/>
      </w:tblCellMar>
    </w:tblPr>
  </w:style>
  <w:style w:type="table" w:customStyle="1" w:styleId="TableLayout2">
    <w:name w:val="Table Layout 2"/>
    <w:basedOn w:val="TableLayout1"/>
    <w:semiHidden/>
    <w:locked/>
    <w:tblPr/>
    <w:tcPr>
      <w:vAlign w:val="bottom"/>
    </w:tcPr>
  </w:style>
  <w:style w:type="table" w:customStyle="1" w:styleId="TableLayout3">
    <w:name w:val="Table Layout 3"/>
    <w:basedOn w:val="TableLayout2"/>
    <w:semiHidden/>
    <w:locked/>
    <w:pPr>
      <w:jc w:val="right"/>
    </w:pPr>
    <w:tblPr>
      <w:jc w:val="center"/>
    </w:tblPr>
    <w:trPr>
      <w:jc w:val="center"/>
    </w:trPr>
  </w:style>
  <w:style w:type="table" w:styleId="TableList1">
    <w:name w:val="Table List 1"/>
    <w:basedOn w:val="TableNormal"/>
    <w:semiHidden/>
    <w:locked/>
    <w:tblPr>
      <w:tblStyleRowBandSize w:val="1"/>
      <w:tblBorders>
        <w:top w:val="single" w:sz="12" w:space="0" w:color="008080"/>
        <w:left w:val="single" w:sz="6" w:space="0" w:color="008080"/>
        <w:bottom w:val="single" w:sz="12" w:space="0" w:color="008080"/>
        <w:right w:val="single" w:sz="6" w:space="0" w:color="008080"/>
      </w:tblBorders>
    </w:tblPr>
    <w:tblStylePr w:type="firstRow">
      <w:rPr>
        <w:b/>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List2">
    <w:name w:val="Table List 2"/>
    <w:basedOn w:val="TableNormal"/>
    <w:semiHidden/>
    <w:locked/>
    <w:tblPr>
      <w:tblStyleRowBandSize w:val="2"/>
      <w:tblBorders>
        <w:bottom w:val="single" w:sz="12" w:space="0" w:color="808080"/>
      </w:tblBorders>
    </w:tblPr>
    <w:tblStylePr w:type="firstRow">
      <w:rPr>
        <w:b/>
        <w:color w:val="FFFFFF"/>
      </w:rPr>
      <w:tblPr/>
      <w:tcPr>
        <w:tcBorders>
          <w:bottom w:val="single" w:sz="6" w:space="0" w:color="000000"/>
          <w:tl2br w:val="none" w:sz="0" w:space="0" w:color="auto"/>
          <w:tr2bl w:val="none" w:sz="0" w:space="0" w:color="auto"/>
        </w:tcBorders>
        <w:shd w:val="clear"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00FF00" w:fill="FFFFFF"/>
      </w:tcPr>
    </w:tblStylePr>
    <w:tblStylePr w:type="band2Horz">
      <w:rPr>
        <w:color w:val="auto"/>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List3">
    <w:name w:val="Table List 3"/>
    <w:basedOn w:val="TableNormal"/>
    <w:semiHidden/>
    <w:locked/>
    <w:tblPr>
      <w:tblBorders>
        <w:top w:val="single" w:sz="12" w:space="0" w:color="000000"/>
        <w:bottom w:val="single" w:sz="12" w:space="0" w:color="000000"/>
        <w:insideH w:val="single" w:sz="6" w:space="0" w:color="000000"/>
      </w:tblBorders>
    </w:tblPr>
    <w:tcPr>
      <w:shd w:val="clear" w:color="auto" w:fill="auto"/>
    </w:tcPr>
    <w:tblStylePr w:type="firstRow">
      <w:rPr>
        <w:b/>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lock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rPr>
      <w:tblPr/>
      <w:tcPr>
        <w:tcBorders>
          <w:bottom w:val="single" w:sz="12" w:space="0" w:color="00000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style>
  <w:style w:type="table" w:styleId="TableList6">
    <w:name w:val="Table List 6"/>
    <w:basedOn w:val="TableNormal"/>
    <w:semiHidden/>
    <w:locked/>
    <w:tblPr>
      <w:tblStyleRowBandSize w:val="1"/>
      <w:tblBorders>
        <w:top w:val="single" w:sz="6" w:space="0" w:color="000000"/>
        <w:left w:val="single" w:sz="6" w:space="0" w:color="000000"/>
        <w:bottom w:val="single" w:sz="6" w:space="0" w:color="000000"/>
        <w:right w:val="single" w:sz="6" w:space="0" w:color="000000"/>
      </w:tblBorders>
    </w:tblPr>
    <w:tcPr>
      <w:shd w:val="clear" w:color="000000" w:fill="FFFFFF"/>
    </w:tcPr>
    <w:tblStylePr w:type="firstRow">
      <w:rPr>
        <w:b/>
      </w:rPr>
      <w:tblPr/>
      <w:tcPr>
        <w:tcBorders>
          <w:bottom w:val="single" w:sz="12" w:space="0" w:color="000000"/>
          <w:tl2br w:val="none" w:sz="0" w:space="0" w:color="auto"/>
          <w:tr2bl w:val="none" w:sz="0" w:space="0" w:color="auto"/>
        </w:tcBorders>
      </w:tcPr>
    </w:tblStylePr>
    <w:tblStylePr w:type="firstCol">
      <w:rPr>
        <w:b/>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clear" w:color="000000" w:fill="FFFFFF"/>
      </w:tcPr>
    </w:tblStylePr>
  </w:style>
  <w:style w:type="table" w:styleId="TableList7">
    <w:name w:val="Table List 7"/>
    <w:basedOn w:val="TableNormal"/>
    <w:semiHidden/>
    <w:lock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rPr>
      <w:tblPr/>
      <w:tcPr>
        <w:tcBorders>
          <w:bottom w:val="single" w:sz="12" w:space="0" w:color="008000"/>
          <w:tl2br w:val="none" w:sz="0" w:space="0" w:color="auto"/>
          <w:tr2bl w:val="none" w:sz="0" w:space="0" w:color="auto"/>
        </w:tcBorders>
        <w:shd w:val="solid" w:color="C0C0C0" w:fill="FFFFFF"/>
      </w:tcPr>
    </w:tblStylePr>
    <w:tblStylePr w:type="lastRow">
      <w:rPr>
        <w:b/>
      </w:rPr>
      <w:tblPr/>
      <w:tcPr>
        <w:tcBorders>
          <w:top w:val="single" w:sz="12" w:space="0" w:color="00800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000000" w:fill="FFFFFF"/>
      </w:tcPr>
    </w:tblStylePr>
    <w:tblStylePr w:type="band2Horz">
      <w:tblPr/>
      <w:tcPr>
        <w:tcBorders>
          <w:tl2br w:val="none" w:sz="0" w:space="0" w:color="auto"/>
          <w:tr2bl w:val="none" w:sz="0" w:space="0" w:color="auto"/>
        </w:tcBorders>
        <w:shd w:val="clear" w:color="FFFF00" w:fill="FFFFFF"/>
      </w:tcPr>
    </w:tblStylePr>
  </w:style>
  <w:style w:type="table" w:styleId="TableList8">
    <w:name w:val="Table List 8"/>
    <w:basedOn w:val="TableNormal"/>
    <w:semiHidden/>
    <w:lock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i/>
      </w:rPr>
      <w:tblPr/>
      <w:tcPr>
        <w:tcBorders>
          <w:bottom w:val="single" w:sz="6" w:space="0" w:color="000000"/>
          <w:tl2br w:val="none" w:sz="0" w:space="0" w:color="auto"/>
          <w:tr2bl w:val="none" w:sz="0" w:space="0" w:color="auto"/>
        </w:tcBorders>
        <w:shd w:val="solid" w:color="FFFF00" w:fill="FFFFFF"/>
      </w:tcPr>
    </w:tblStylePr>
    <w:tblStylePr w:type="lastRow">
      <w:rPr>
        <w:b/>
      </w:rPr>
      <w:tblPr/>
      <w:tcPr>
        <w:tcBorders>
          <w:top w:val="single" w:sz="6" w:space="0" w:color="000000"/>
          <w:tl2br w:val="none" w:sz="0" w:space="0" w:color="auto"/>
          <w:tr2bl w:val="none" w:sz="0" w:space="0" w:color="auto"/>
        </w:tcBorders>
      </w:tcPr>
    </w:tblStylePr>
    <w:tblStylePr w:type="firstCol">
      <w:rPr>
        <w:b/>
      </w:rPr>
      <w:tblPr/>
      <w:tcPr>
        <w:tcBorders>
          <w:tl2br w:val="none" w:sz="0" w:space="0" w:color="auto"/>
          <w:tr2bl w:val="none" w:sz="0" w:space="0" w:color="auto"/>
        </w:tcBorders>
      </w:tcPr>
    </w:tblStylePr>
    <w:tblStylePr w:type="lastCol">
      <w:rPr>
        <w:b/>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FFFF00" w:fill="FFFFFF"/>
      </w:tcPr>
    </w:tblStylePr>
    <w:tblStylePr w:type="band2Horz">
      <w:tblPr/>
      <w:tcPr>
        <w:tcBorders>
          <w:tl2br w:val="none" w:sz="0" w:space="0" w:color="auto"/>
          <w:tr2bl w:val="none" w:sz="0" w:space="0" w:color="auto"/>
        </w:tcBorders>
        <w:shd w:val="clear" w:color="FF0000" w:fill="FFFFFF"/>
      </w:tcPr>
    </w:tblStylePr>
  </w:style>
  <w:style w:type="table" w:customStyle="1" w:styleId="TableParties">
    <w:name w:val="Table Parties"/>
    <w:basedOn w:val="TableNormal"/>
    <w:semiHidden/>
    <w:rPr>
      <w:sz w:val="18"/>
    </w:rPr>
    <w:tblPr>
      <w:tblInd w:w="851" w:type="dxa"/>
      <w:tblCellMar>
        <w:top w:w="227" w:type="dxa"/>
        <w:left w:w="0" w:type="dxa"/>
        <w:bottom w:w="113" w:type="dxa"/>
        <w:right w:w="113" w:type="dxa"/>
      </w:tblCellMar>
    </w:tblPr>
    <w:trPr>
      <w:cantSplit/>
    </w:trPr>
  </w:style>
  <w:style w:type="table" w:customStyle="1" w:styleId="TableParty">
    <w:name w:val="Table Party"/>
    <w:basedOn w:val="TableNormal"/>
    <w:semiHidden/>
    <w:locked/>
    <w:tblPr>
      <w:tblInd w:w="851" w:type="dxa"/>
      <w:tblCellMar>
        <w:left w:w="0" w:type="dxa"/>
        <w:bottom w:w="113" w:type="dxa"/>
        <w:right w:w="0" w:type="dxa"/>
      </w:tblCellMar>
    </w:tblPr>
    <w:tblStylePr w:type="lastRow">
      <w:tblPr/>
      <w:tcPr>
        <w:tcBorders>
          <w:top w:val="nil"/>
          <w:left w:val="nil"/>
          <w:bottom w:val="single" w:sz="4" w:space="0" w:color="4D4D4D"/>
          <w:right w:val="nil"/>
          <w:insideH w:val="nil"/>
          <w:insideV w:val="nil"/>
          <w:tl2br w:val="nil"/>
          <w:tr2bl w:val="nil"/>
        </w:tcBorders>
      </w:tcPr>
    </w:tblStylePr>
  </w:style>
  <w:style w:type="table" w:styleId="TableProfessional">
    <w:name w:val="Table Professional"/>
    <w:basedOn w:val="TableNormal"/>
    <w:semiHidden/>
    <w:lock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tblPr/>
    <w:tblStylePr w:type="firstRow">
      <w:rPr>
        <w:b/>
      </w:rPr>
      <w:tblPr/>
      <w:tcPr>
        <w:tcBorders>
          <w:bottom w:val="single" w:sz="12" w:space="0" w:color="000000"/>
          <w:tl2br w:val="none" w:sz="0" w:space="0" w:color="auto"/>
          <w:tr2bl w:val="none" w:sz="0" w:space="0" w:color="auto"/>
        </w:tcBorders>
      </w:tcPr>
    </w:tblStylePr>
    <w:tblStylePr w:type="lastRow">
      <w:rPr>
        <w:b/>
        <w:color w:val="auto"/>
      </w:rPr>
      <w:tblPr/>
      <w:tcPr>
        <w:tcBorders>
          <w:top w:val="single" w:sz="6" w:space="0" w:color="000000"/>
          <w:tl2br w:val="none" w:sz="0" w:space="0" w:color="auto"/>
          <w:tr2bl w:val="none" w:sz="0" w:space="0" w:color="auto"/>
        </w:tcBorders>
      </w:tcPr>
    </w:tblStylePr>
    <w:tblStylePr w:type="firstCol">
      <w:rPr>
        <w:b/>
      </w:rPr>
      <w:tblPr/>
      <w:tcPr>
        <w:tcBorders>
          <w:right w:val="single" w:sz="12" w:space="0" w:color="000000"/>
          <w:tl2br w:val="none" w:sz="0" w:space="0" w:color="auto"/>
          <w:tr2bl w:val="none" w:sz="0" w:space="0" w:color="auto"/>
        </w:tcBorders>
      </w:tcPr>
    </w:tblStylePr>
    <w:tblStylePr w:type="lastCol">
      <w:rPr>
        <w:b/>
      </w:rPr>
      <w:tblPr/>
      <w:tcPr>
        <w:tcBorders>
          <w:left w:val="single" w:sz="6" w:space="0" w:color="000000"/>
          <w:tl2br w:val="none" w:sz="0" w:space="0" w:color="auto"/>
          <w:tr2bl w:val="none" w:sz="0" w:space="0" w:color="auto"/>
        </w:tcBorders>
      </w:tcPr>
    </w:tblStylePr>
    <w:tblStylePr w:type="neCell">
      <w:rPr>
        <w:b/>
      </w:rPr>
      <w:tblPr/>
      <w:tcPr>
        <w:tcBorders>
          <w:left w:val="none" w:sz="0" w:space="0" w:color="auto"/>
          <w:tl2br w:val="none" w:sz="0" w:space="0" w:color="auto"/>
          <w:tr2bl w:val="none" w:sz="0" w:space="0" w:color="auto"/>
        </w:tcBorders>
      </w:tcPr>
    </w:tblStylePr>
    <w:tblStylePr w:type="swCell">
      <w:rPr>
        <w:b/>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color w:val="FFFFFF"/>
      </w:rPr>
      <w:tblPr/>
      <w:tcPr>
        <w:tcBorders>
          <w:tl2br w:val="none" w:sz="0" w:space="0" w:color="auto"/>
          <w:tr2bl w:val="none" w:sz="0" w:space="0" w:color="auto"/>
        </w:tcBorders>
        <w:shd w:val="solid" w:color="000000" w:fill="FFFFFF"/>
      </w:tcPr>
    </w:tblStylePr>
  </w:style>
  <w:style w:type="table" w:customStyle="1" w:styleId="TableStyle">
    <w:name w:val="Table Style"/>
    <w:basedOn w:val="TableNormal"/>
    <w:rPr>
      <w:sz w:val="18"/>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styleId="TableSubtle1">
    <w:name w:val="Table Subtle 1"/>
    <w:basedOn w:val="TableNormal"/>
    <w:semiHidden/>
    <w:lock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clear"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clear" w:color="808000" w:fill="FFFFFF"/>
      </w:tcPr>
    </w:tblStylePr>
    <w:tblStylePr w:type="neCell">
      <w:rPr>
        <w:b/>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Subtle2">
    <w:name w:val="Table Subtle 2"/>
    <w:basedOn w:val="TableNormal"/>
    <w:semiHidden/>
    <w:lock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clear" w:color="008000" w:fill="FFFFFF"/>
      </w:tcPr>
    </w:tblStylePr>
    <w:tblStylePr w:type="lastCol">
      <w:tblPr/>
      <w:tcPr>
        <w:tcBorders>
          <w:left w:val="single" w:sz="12" w:space="0" w:color="000000"/>
          <w:tl2br w:val="none" w:sz="0" w:space="0" w:color="auto"/>
          <w:tr2bl w:val="none" w:sz="0" w:space="0" w:color="auto"/>
        </w:tcBorders>
        <w:shd w:val="clear" w:color="808000" w:fill="FFFFFF"/>
      </w:tcPr>
    </w:tblStylePr>
    <w:tblStylePr w:type="neCell">
      <w:rPr>
        <w:b/>
      </w:rPr>
      <w:tblPr/>
      <w:tcPr>
        <w:tcBorders>
          <w:tl2br w:val="none" w:sz="0" w:space="0" w:color="auto"/>
          <w:tr2bl w:val="none" w:sz="0" w:space="0" w:color="auto"/>
        </w:tcBorders>
      </w:tcPr>
    </w:tblStylePr>
    <w:tblStylePr w:type="swCell">
      <w:rPr>
        <w:b/>
      </w:rPr>
      <w:tblPr/>
      <w:tcPr>
        <w:tcBorders>
          <w:tl2br w:val="none" w:sz="0" w:space="0" w:color="auto"/>
          <w:tr2bl w:val="none" w:sz="0" w:space="0" w:color="auto"/>
        </w:tcBorders>
      </w:tcPr>
    </w:tblStylePr>
  </w:style>
  <w:style w:type="table" w:styleId="TableTheme">
    <w:name w:val="Table Theme"/>
    <w:basedOn w:val="TableNormal"/>
    <w:semiHidden/>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rm">
    <w:name w:val="Term"/>
    <w:basedOn w:val="Normal"/>
    <w:next w:val="BodyText"/>
    <w:rPr>
      <w:b/>
      <w:sz w:val="18"/>
    </w:rPr>
  </w:style>
  <w:style w:type="paragraph" w:customStyle="1" w:styleId="Text">
    <w:name w:val="Text"/>
    <w:basedOn w:val="Normal"/>
    <w:semiHidden/>
    <w:locked/>
  </w:style>
  <w:style w:type="paragraph" w:styleId="Title">
    <w:name w:val="Title"/>
    <w:basedOn w:val="Normal"/>
    <w:next w:val="BodyText"/>
    <w:link w:val="TitleChar"/>
    <w:uiPriority w:val="10"/>
    <w:qFormat/>
    <w:pPr>
      <w:pBdr>
        <w:bottom w:val="single" w:sz="8" w:space="10" w:color="auto"/>
      </w:pBdr>
      <w:spacing w:before="600" w:after="240"/>
      <w:ind w:left="851"/>
    </w:pPr>
    <w:rPr>
      <w:sz w:val="28"/>
    </w:rPr>
  </w:style>
  <w:style w:type="paragraph" w:styleId="TOC1">
    <w:name w:val="toc 1"/>
    <w:basedOn w:val="Normal"/>
    <w:next w:val="BodyText"/>
    <w:semiHidden/>
    <w:locked/>
    <w:pPr>
      <w:keepNext/>
      <w:tabs>
        <w:tab w:val="left" w:pos="851"/>
        <w:tab w:val="right" w:pos="8800"/>
      </w:tabs>
      <w:spacing w:before="120" w:after="60"/>
      <w:ind w:left="851" w:right="284" w:hanging="851"/>
    </w:pPr>
    <w:rPr>
      <w:b/>
      <w:sz w:val="22"/>
    </w:rPr>
  </w:style>
  <w:style w:type="paragraph" w:styleId="TOC2">
    <w:name w:val="toc 2"/>
    <w:basedOn w:val="Normal"/>
    <w:next w:val="BodyText"/>
    <w:semiHidden/>
    <w:locked/>
    <w:pPr>
      <w:tabs>
        <w:tab w:val="left" w:pos="1418"/>
        <w:tab w:val="right" w:leader="dot" w:pos="8800"/>
      </w:tabs>
      <w:spacing w:after="0"/>
      <w:ind w:left="1418" w:right="284" w:hanging="567"/>
    </w:pPr>
  </w:style>
  <w:style w:type="paragraph" w:styleId="TOC3">
    <w:name w:val="toc 3"/>
    <w:basedOn w:val="Normal"/>
    <w:next w:val="BodyText"/>
    <w:semiHidden/>
    <w:locked/>
    <w:pPr>
      <w:tabs>
        <w:tab w:val="right" w:pos="8800"/>
      </w:tabs>
      <w:spacing w:before="120" w:after="360"/>
      <w:ind w:left="851" w:right="284"/>
    </w:pPr>
    <w:rPr>
      <w:b/>
      <w:sz w:val="24"/>
    </w:rPr>
  </w:style>
  <w:style w:type="paragraph" w:styleId="TOC4">
    <w:name w:val="toc 4"/>
    <w:basedOn w:val="Normal"/>
    <w:next w:val="BodyText"/>
    <w:semiHidden/>
    <w:locked/>
    <w:pPr>
      <w:tabs>
        <w:tab w:val="right" w:pos="8800"/>
      </w:tabs>
      <w:spacing w:before="360" w:after="360"/>
      <w:ind w:left="851" w:right="284"/>
    </w:pPr>
    <w:rPr>
      <w:b/>
      <w:sz w:val="24"/>
    </w:rPr>
  </w:style>
  <w:style w:type="paragraph" w:styleId="TOC5">
    <w:name w:val="toc 5"/>
    <w:basedOn w:val="Normal"/>
    <w:next w:val="BodyText"/>
    <w:semiHidden/>
    <w:locked/>
    <w:pPr>
      <w:tabs>
        <w:tab w:val="right" w:pos="8800"/>
      </w:tabs>
      <w:ind w:left="851" w:right="284"/>
    </w:pPr>
    <w:rPr>
      <w:b/>
      <w:sz w:val="22"/>
    </w:rPr>
  </w:style>
  <w:style w:type="paragraph" w:styleId="TOC6">
    <w:name w:val="toc 6"/>
    <w:basedOn w:val="Normal"/>
    <w:next w:val="BodyText"/>
    <w:semiHidden/>
    <w:locked/>
    <w:pPr>
      <w:keepNext/>
      <w:tabs>
        <w:tab w:val="right" w:pos="8800"/>
      </w:tabs>
      <w:spacing w:before="360"/>
      <w:ind w:left="851" w:right="284"/>
    </w:pPr>
    <w:rPr>
      <w:b/>
      <w:sz w:val="24"/>
    </w:rPr>
  </w:style>
  <w:style w:type="paragraph" w:styleId="TOC7">
    <w:name w:val="toc 7"/>
    <w:basedOn w:val="Normal"/>
    <w:next w:val="BodyText"/>
    <w:semiHidden/>
    <w:locked/>
    <w:pPr>
      <w:tabs>
        <w:tab w:val="right" w:pos="8800"/>
      </w:tabs>
      <w:ind w:left="851" w:right="284"/>
    </w:pPr>
    <w:rPr>
      <w:b/>
      <w:sz w:val="22"/>
    </w:rPr>
  </w:style>
  <w:style w:type="paragraph" w:styleId="TOC8">
    <w:name w:val="toc 8"/>
    <w:basedOn w:val="Normal"/>
    <w:next w:val="BodyText"/>
    <w:semiHidden/>
    <w:locked/>
    <w:pPr>
      <w:spacing w:after="0"/>
      <w:ind w:right="284"/>
    </w:pPr>
  </w:style>
  <w:style w:type="paragraph" w:styleId="TOC9">
    <w:name w:val="toc 9"/>
    <w:basedOn w:val="Normal"/>
    <w:next w:val="BodyText"/>
    <w:semiHidden/>
    <w:locked/>
    <w:pPr>
      <w:spacing w:after="0"/>
      <w:ind w:right="284"/>
    </w:pPr>
  </w:style>
  <w:style w:type="paragraph" w:customStyle="1" w:styleId="Topic1">
    <w:name w:val="Topic 1"/>
    <w:basedOn w:val="Normal"/>
    <w:next w:val="BodyText"/>
    <w:semiHidden/>
    <w:rPr>
      <w:b/>
    </w:rPr>
  </w:style>
  <w:style w:type="paragraph" w:customStyle="1" w:styleId="Topic2">
    <w:name w:val="Topic 2"/>
    <w:basedOn w:val="Normal"/>
    <w:next w:val="CellText"/>
    <w:semiHidden/>
    <w:rPr>
      <w:sz w:val="22"/>
    </w:rPr>
  </w:style>
  <w:style w:type="character" w:styleId="PlaceholderText">
    <w:name w:val="Placeholder Text"/>
    <w:basedOn w:val="DefaultParagraphFont"/>
    <w:unhideWhenUsed/>
    <w:rPr>
      <w:color w:val="808080"/>
    </w:rPr>
  </w:style>
  <w:style w:type="paragraph" w:styleId="BalloonText">
    <w:name w:val="Balloon Text"/>
    <w:basedOn w:val="Normal"/>
    <w:link w:val="BalloonTextChar"/>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lang w:val="en-AU" w:eastAsia="en-AU"/>
    </w:rPr>
  </w:style>
  <w:style w:type="paragraph" w:customStyle="1" w:styleId="NoTOCHdg5">
    <w:name w:val="NoTOCHdg 5"/>
    <w:basedOn w:val="Normal"/>
    <w:next w:val="BodyTextIndent3"/>
    <w:semiHidden/>
    <w:locked/>
    <w:pPr>
      <w:numPr>
        <w:ilvl w:val="4"/>
        <w:numId w:val="2"/>
      </w:numPr>
    </w:pPr>
  </w:style>
  <w:style w:type="character" w:styleId="CommentReference">
    <w:name w:val="annotation reference"/>
    <w:basedOn w:val="DefaultParagraphFont"/>
    <w:uiPriority w:val="99"/>
    <w:semiHidden/>
    <w:rsid w:val="00747BC0"/>
    <w:rPr>
      <w:sz w:val="18"/>
      <w:szCs w:val="18"/>
    </w:rPr>
  </w:style>
  <w:style w:type="paragraph" w:styleId="CommentText">
    <w:name w:val="annotation text"/>
    <w:basedOn w:val="Normal"/>
    <w:link w:val="CommentTextChar"/>
    <w:uiPriority w:val="99"/>
    <w:semiHidden/>
    <w:rsid w:val="00747BC0"/>
    <w:rPr>
      <w:sz w:val="24"/>
      <w:szCs w:val="24"/>
    </w:rPr>
  </w:style>
  <w:style w:type="character" w:customStyle="1" w:styleId="CommentTextChar">
    <w:name w:val="Comment Text Char"/>
    <w:basedOn w:val="DefaultParagraphFont"/>
    <w:link w:val="CommentText"/>
    <w:uiPriority w:val="99"/>
    <w:semiHidden/>
    <w:rsid w:val="00747BC0"/>
    <w:rPr>
      <w:sz w:val="24"/>
      <w:szCs w:val="24"/>
      <w:lang w:val="en-AU" w:eastAsia="en-AU"/>
    </w:rPr>
  </w:style>
  <w:style w:type="paragraph" w:styleId="CommentSubject">
    <w:name w:val="annotation subject"/>
    <w:basedOn w:val="CommentText"/>
    <w:next w:val="CommentText"/>
    <w:link w:val="CommentSubjectChar"/>
    <w:uiPriority w:val="99"/>
    <w:semiHidden/>
    <w:rsid w:val="00747BC0"/>
    <w:rPr>
      <w:b/>
      <w:bCs/>
      <w:sz w:val="20"/>
      <w:szCs w:val="20"/>
    </w:rPr>
  </w:style>
  <w:style w:type="character" w:customStyle="1" w:styleId="CommentSubjectChar">
    <w:name w:val="Comment Subject Char"/>
    <w:basedOn w:val="CommentTextChar"/>
    <w:link w:val="CommentSubject"/>
    <w:uiPriority w:val="99"/>
    <w:semiHidden/>
    <w:rsid w:val="00747BC0"/>
    <w:rPr>
      <w:b/>
      <w:bCs/>
      <w:sz w:val="24"/>
      <w:szCs w:val="24"/>
      <w:lang w:val="en-AU" w:eastAsia="en-AU"/>
    </w:rPr>
  </w:style>
  <w:style w:type="character" w:customStyle="1" w:styleId="Heading1Char">
    <w:name w:val="Heading 1 Char"/>
    <w:basedOn w:val="DefaultParagraphFont"/>
    <w:link w:val="Heading1"/>
    <w:uiPriority w:val="9"/>
    <w:rsid w:val="00F17E1C"/>
    <w:rPr>
      <w:rFonts w:ascii="Trebuchet MS" w:eastAsia="Trebuchet MS" w:hAnsi="Trebuchet MS" w:cs="Trebuchet MS"/>
      <w:b/>
      <w:bCs/>
      <w:sz w:val="22"/>
      <w:szCs w:val="22"/>
    </w:rPr>
  </w:style>
  <w:style w:type="character" w:customStyle="1" w:styleId="normaltextrun">
    <w:name w:val="normaltextrun"/>
    <w:basedOn w:val="DefaultParagraphFont"/>
    <w:rsid w:val="00B4343C"/>
  </w:style>
  <w:style w:type="paragraph" w:customStyle="1" w:styleId="paragraph">
    <w:name w:val="paragraph"/>
    <w:basedOn w:val="Normal"/>
    <w:rsid w:val="002E5C51"/>
    <w:pPr>
      <w:spacing w:before="100" w:beforeAutospacing="1" w:after="100" w:afterAutospacing="1"/>
    </w:pPr>
    <w:rPr>
      <w:rFonts w:ascii="Times" w:hAnsi="Times"/>
      <w:lang w:eastAsia="en-US"/>
    </w:rPr>
  </w:style>
  <w:style w:type="character" w:customStyle="1" w:styleId="FootnoteTextChar">
    <w:name w:val="Footnote Text Char"/>
    <w:basedOn w:val="DefaultParagraphFont"/>
    <w:link w:val="FootnoteText"/>
    <w:semiHidden/>
    <w:rsid w:val="00F55799"/>
    <w:rPr>
      <w:sz w:val="16"/>
      <w:lang w:val="en-AU" w:eastAsia="en-AU"/>
    </w:rPr>
  </w:style>
  <w:style w:type="character" w:customStyle="1" w:styleId="BulletsChar">
    <w:name w:val="Bullets Char"/>
    <w:basedOn w:val="DefaultParagraphFont"/>
    <w:link w:val="Bullets"/>
    <w:uiPriority w:val="3"/>
    <w:locked/>
    <w:rsid w:val="00F55799"/>
    <w:rPr>
      <w:color w:val="434244"/>
    </w:rPr>
  </w:style>
  <w:style w:type="paragraph" w:customStyle="1" w:styleId="Bullets">
    <w:name w:val="Bullets"/>
    <w:basedOn w:val="ListParagraph"/>
    <w:link w:val="BulletsChar"/>
    <w:uiPriority w:val="3"/>
    <w:qFormat/>
    <w:rsid w:val="00F55799"/>
    <w:pPr>
      <w:numPr>
        <w:numId w:val="17"/>
      </w:numPr>
      <w:spacing w:before="120" w:line="260" w:lineRule="atLeast"/>
      <w:contextualSpacing w:val="0"/>
    </w:pPr>
    <w:rPr>
      <w:color w:val="434244"/>
      <w:lang w:val="en-US" w:eastAsia="en-US"/>
    </w:rPr>
  </w:style>
  <w:style w:type="paragraph" w:styleId="ListParagraph">
    <w:name w:val="List Paragraph"/>
    <w:basedOn w:val="Normal"/>
    <w:uiPriority w:val="1"/>
    <w:qFormat/>
    <w:rsid w:val="00F55799"/>
    <w:pPr>
      <w:ind w:left="720"/>
      <w:contextualSpacing/>
    </w:pPr>
  </w:style>
  <w:style w:type="paragraph" w:styleId="PlainText">
    <w:name w:val="Plain Text"/>
    <w:basedOn w:val="Normal"/>
    <w:link w:val="PlainTextChar"/>
    <w:uiPriority w:val="99"/>
    <w:semiHidden/>
    <w:unhideWhenUsed/>
    <w:rsid w:val="0058318A"/>
    <w:pPr>
      <w:spacing w:after="0"/>
    </w:pPr>
    <w:rPr>
      <w:rFonts w:eastAsiaTheme="minorEastAsia"/>
      <w:lang w:eastAsia="zh-CN"/>
    </w:rPr>
  </w:style>
  <w:style w:type="character" w:customStyle="1" w:styleId="PlainTextChar">
    <w:name w:val="Plain Text Char"/>
    <w:basedOn w:val="DefaultParagraphFont"/>
    <w:link w:val="PlainText"/>
    <w:uiPriority w:val="99"/>
    <w:semiHidden/>
    <w:rsid w:val="0058318A"/>
    <w:rPr>
      <w:rFonts w:eastAsiaTheme="minorEastAsia"/>
      <w:lang w:val="en-AU" w:eastAsia="zh-CN"/>
    </w:rPr>
  </w:style>
  <w:style w:type="character" w:styleId="UnresolvedMention">
    <w:name w:val="Unresolved Mention"/>
    <w:basedOn w:val="DefaultParagraphFont"/>
    <w:uiPriority w:val="99"/>
    <w:semiHidden/>
    <w:unhideWhenUsed/>
    <w:rsid w:val="007E4130"/>
    <w:rPr>
      <w:color w:val="605E5C"/>
      <w:shd w:val="clear" w:color="auto" w:fill="E1DFDD"/>
    </w:rPr>
  </w:style>
  <w:style w:type="character" w:customStyle="1" w:styleId="BodyTextChar">
    <w:name w:val="Body Text Char"/>
    <w:basedOn w:val="DefaultParagraphFont"/>
    <w:link w:val="BodyText"/>
    <w:uiPriority w:val="1"/>
    <w:rsid w:val="007E4130"/>
    <w:rPr>
      <w:lang w:val="en-AU" w:eastAsia="en-AU"/>
    </w:rPr>
  </w:style>
  <w:style w:type="character" w:customStyle="1" w:styleId="Heading2Char">
    <w:name w:val="Heading 2 Char"/>
    <w:basedOn w:val="DefaultParagraphFont"/>
    <w:link w:val="Heading2"/>
    <w:uiPriority w:val="9"/>
    <w:rsid w:val="00C340FA"/>
    <w:rPr>
      <w:rFonts w:eastAsia="Trebuchet MS" w:asciiTheme="majorHAnsi" w:hAnsiTheme="majorHAnsi" w:cstheme="majorHAnsi"/>
      <w:b/>
      <w:bCs/>
      <w:w w:val="99"/>
    </w:rPr>
  </w:style>
  <w:style w:type="character" w:customStyle="1" w:styleId="Heading3Char">
    <w:name w:val="Heading 3 Char"/>
    <w:basedOn w:val="DefaultParagraphFont"/>
    <w:link w:val="Heading3"/>
    <w:uiPriority w:val="9"/>
    <w:rsid w:val="00E402EC"/>
    <w:rPr>
      <w:lang w:val="en-AU" w:eastAsia="en-AU"/>
    </w:rPr>
  </w:style>
  <w:style w:type="character" w:customStyle="1" w:styleId="TitleChar">
    <w:name w:val="Title Char"/>
    <w:basedOn w:val="DefaultParagraphFont"/>
    <w:link w:val="Title"/>
    <w:uiPriority w:val="10"/>
    <w:rsid w:val="004A17EB"/>
    <w:rPr>
      <w:sz w:val="28"/>
      <w:lang w:val="en-AU" w:eastAsia="en-AU"/>
    </w:rPr>
  </w:style>
  <w:style w:type="paragraph" w:customStyle="1" w:styleId="TableParagraph">
    <w:name w:val="Table Paragraph"/>
    <w:basedOn w:val="Normal"/>
    <w:uiPriority w:val="1"/>
    <w:qFormat/>
    <w:rsid w:val="004A17EB"/>
    <w:pPr>
      <w:widowControl w:val="0"/>
      <w:autoSpaceDE w:val="0"/>
      <w:autoSpaceDN w:val="0"/>
      <w:spacing w:before="119" w:after="0"/>
      <w:ind w:left="110"/>
    </w:pPr>
    <w:rPr>
      <w:rFonts w:ascii="Trebuchet MS" w:eastAsia="Trebuchet MS" w:hAnsi="Trebuchet MS" w:cs="Trebuchet MS"/>
      <w:sz w:val="22"/>
      <w:szCs w:val="22"/>
      <w:lang w:val="en-US" w:eastAsia="en-US"/>
    </w:rPr>
  </w:style>
  <w:style w:type="character" w:customStyle="1" w:styleId="HeaderChar">
    <w:name w:val="Header Char"/>
    <w:basedOn w:val="DefaultParagraphFont"/>
    <w:link w:val="Header"/>
    <w:uiPriority w:val="99"/>
    <w:rsid w:val="004A17EB"/>
    <w:rPr>
      <w:sz w:val="18"/>
      <w:lang w:val="en-AU" w:eastAsia="en-AU"/>
    </w:rPr>
  </w:style>
  <w:style w:type="character" w:customStyle="1" w:styleId="FooterChar">
    <w:name w:val="Footer Char"/>
    <w:basedOn w:val="DefaultParagraphFont"/>
    <w:link w:val="Footer"/>
    <w:uiPriority w:val="99"/>
    <w:rsid w:val="004A17EB"/>
    <w:rPr>
      <w:sz w:val="14"/>
      <w:lang w:val="en-AU" w:eastAsia="en-AU"/>
    </w:rPr>
  </w:style>
  <w:style w:type="paragraph" w:styleId="Revision">
    <w:name w:val="Revision"/>
    <w:hidden/>
    <w:uiPriority w:val="99"/>
    <w:semiHidden/>
    <w:rsid w:val="00E82E8D"/>
    <w:pPr>
      <w:spacing w:after="0"/>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onsult.treasury.gov.au/c2026-779186"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p10_freehills">
  <a:themeElements>
    <a:clrScheme name="Freehills - print">
      <a:dk1>
        <a:srgbClr val="000000"/>
      </a:dk1>
      <a:lt1>
        <a:srgbClr val="FFFFFF"/>
      </a:lt1>
      <a:dk2>
        <a:srgbClr val="0066CC"/>
      </a:dk2>
      <a:lt2>
        <a:srgbClr val="003366"/>
      </a:lt2>
      <a:accent1>
        <a:srgbClr val="3399FF"/>
      </a:accent1>
      <a:accent2>
        <a:srgbClr val="99CCFF"/>
      </a:accent2>
      <a:accent3>
        <a:srgbClr val="808080"/>
      </a:accent3>
      <a:accent4>
        <a:srgbClr val="B2B2B2"/>
      </a:accent4>
      <a:accent5>
        <a:srgbClr val="FFCC00"/>
      </a:accent5>
      <a:accent6>
        <a:srgbClr val="FF9933"/>
      </a:accent6>
      <a:hlink>
        <a:srgbClr val="265897"/>
      </a:hlink>
      <a:folHlink>
        <a:srgbClr val="808080"/>
      </a:folHlink>
    </a:clrScheme>
    <a:fontScheme name="Freehil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bg2"/>
        </a:solidFill>
        <a:ln>
          <a:noFill/>
        </a:ln>
      </a:spPr>
      <a:bodyPr vert="horz" wrap="square" lIns="36000" tIns="36000" rIns="36000" bIns="36000" numCol="1" rtlCol="0" anchor="ctr" anchorCtr="0" compatLnSpc="1">
        <a:prstTxWarp prst="textNoShape">
          <a:avLst/>
        </a:prstTxWarp>
        <a:noAutofit/>
      </a:bodyPr>
      <a:lstStyle>
        <a:defPPr marL="0" marR="0" indent="0" algn="ctr" defTabSz="1042988" rtl="0" eaLnBrk="1" fontAlgn="base" latinLnBrk="0" hangingPunct="1">
          <a:lnSpc>
            <a:spcPct val="100000"/>
          </a:lnSpc>
          <a:spcBef>
            <a:spcPct val="0"/>
          </a:spcBef>
          <a:spcAft>
            <a:spcPct val="0"/>
          </a:spcAft>
          <a:buClrTx/>
          <a:buSzTx/>
          <a:buFontTx/>
          <a:buNone/>
          <a:tabLst/>
          <a:defRPr kumimoji="0" sz="1200" b="0" i="0" u="none" strike="noStrike" cap="none" normalizeH="0" baseline="0" dirty="0" smtClean="0">
            <a:ln>
              <a:noFill/>
            </a:ln>
            <a:solidFill>
              <a:schemeClr val="bg1"/>
            </a:solidFill>
            <a:effectLst/>
            <a:latin typeface="Arial" charset="0"/>
          </a:defRPr>
        </a:defPPr>
      </a:lstStyle>
      <a:style>
        <a:lnRef idx="2">
          <a:schemeClr val="dk1">
            <a:shade val="50000"/>
          </a:schemeClr>
        </a:lnRef>
        <a:fillRef idx="1">
          <a:schemeClr val="dk1"/>
        </a:fillRef>
        <a:effectRef idx="0">
          <a:schemeClr val="dk1"/>
        </a:effectRef>
        <a:fontRef idx="minor">
          <a:schemeClr val="lt1"/>
        </a:fontRef>
      </a:style>
    </a:spDef>
    <a:lnDef>
      <a:spPr bwMode="auto">
        <a:noFill/>
        <a:ln w="6350" cap="flat" cmpd="sng" algn="ctr">
          <a:solidFill>
            <a:schemeClr val="accent3"/>
          </a:solidFill>
          <a:prstDash val="solid"/>
          <a:round/>
          <a:headEnd type="none" w="med" len="med"/>
          <a:tailEnd type="none" w="med" len="med"/>
        </a:ln>
        <a:effectLst/>
        <a:extLst>
          <a:ext uri="{909E8E84-426E-40dd-AFC4-6F175D3DCCD1}">
            <a14:hiddenFill xmlns="" xmlns:a14="http://schemas.microsoft.com/office/drawing/2010/main">
              <a:solidFill>
                <a:schemeClr val="accent1"/>
              </a:solidFill>
            </a14:hiddenFill>
          </a:ext>
          <a:ext uri="{AF507438-7753-43e0-B8FC-AC1667EBCBE1}">
            <a14:hiddenEffects xmlns="" xmlns:a14="http://schemas.microsoft.com/office/drawing/2010/main">
              <a:effectLst>
                <a:outerShdw dist="35921" dir="2700000" algn="ctr" rotWithShape="0">
                  <a:schemeClr val="bg2"/>
                </a:outerShdw>
              </a:effectLst>
            </a14:hiddenEffects>
          </a:ext>
        </a:extLst>
      </a:spPr>
      <a:bodyPr/>
      <a:lstStyle/>
    </a:lnDef>
  </a:objectDefaults>
  <a:extraClrSchemeLst>
    <a:extraClrScheme>
      <a:clrScheme name="Freehills">
        <a:dk1>
          <a:srgbClr val="000000"/>
        </a:dk1>
        <a:lt1>
          <a:srgbClr val="FFFFFF"/>
        </a:lt1>
        <a:dk2>
          <a:srgbClr val="0066CC"/>
        </a:dk2>
        <a:lt2>
          <a:srgbClr val="003366"/>
        </a:lt2>
        <a:accent1>
          <a:srgbClr val="3399FF"/>
        </a:accent1>
        <a:accent2>
          <a:srgbClr val="99CCFF"/>
        </a:accent2>
        <a:accent3>
          <a:srgbClr val="808080"/>
        </a:accent3>
        <a:accent4>
          <a:srgbClr val="B2B2B2"/>
        </a:accent4>
        <a:accent5>
          <a:srgbClr val="FFCC00"/>
        </a:accent5>
        <a:accent6>
          <a:srgbClr val="FF9933"/>
        </a:accent6>
        <a:hlink>
          <a:srgbClr val="265897"/>
        </a:hlink>
        <a:folHlink>
          <a:srgbClr val="80808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otalTime>0</TotalTime>
  <Pages>14</Pages>
  <Words>5581</Words>
  <Characters>34111</Characters>
  <Application>Microsoft Office Word</Application>
  <DocSecurity>0</DocSecurity>
  <Lines>0</Lines>
  <Paragraphs>229</Paragraphs>
  <ScaleCrop>false</ScaleCrop>
  <Company/>
  <LinksUpToDate>false</LinksUpToDate>
  <CharactersWithSpaces>39492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2026-07-16T00:23:36Z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179747691_1</vt:lpwstr>
  </property>
  <property fmtid="{D5CDD505-2E9C-101B-9397-08002B2CF9AE}" pid="3" name="kwmDocumentID">
    <vt:lpwstr>DOCUMENTS!179747691.1</vt:lpwstr>
  </property>
</Properties>
</file>